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105EA" w14:textId="157AF028" w:rsidR="00ED4B99" w:rsidRPr="007074A8" w:rsidRDefault="00ED4B99" w:rsidP="00ED4B99">
      <w:pPr>
        <w:jc w:val="center"/>
        <w:rPr>
          <w:rFonts w:ascii="Tahoma" w:hAnsi="Tahoma" w:cs="Tahoma"/>
          <w:b/>
          <w:bCs/>
        </w:rPr>
      </w:pPr>
      <w:bookmarkStart w:id="0" w:name="_Toc400361362"/>
      <w:bookmarkStart w:id="1" w:name="_Toc443397153"/>
      <w:bookmarkStart w:id="2" w:name="_Toc357771638"/>
      <w:bookmarkStart w:id="3" w:name="_Toc346793416"/>
      <w:bookmarkStart w:id="4" w:name="_Toc328122777"/>
      <w:r w:rsidRPr="00201B2A">
        <w:rPr>
          <w:rFonts w:ascii="Tahoma" w:hAnsi="Tahoma" w:cs="Tahoma"/>
          <w:b/>
          <w:bCs/>
          <w:color w:val="C00000"/>
          <w:sz w:val="28"/>
          <w:szCs w:val="28"/>
        </w:rPr>
        <w:t xml:space="preserve">Broadbottom CE </w:t>
      </w:r>
      <w:r>
        <w:rPr>
          <w:rFonts w:ascii="Tahoma" w:hAnsi="Tahoma" w:cs="Tahoma"/>
          <w:b/>
          <w:bCs/>
          <w:color w:val="C00000"/>
          <w:sz w:val="28"/>
          <w:szCs w:val="28"/>
        </w:rPr>
        <w:t xml:space="preserve">(VC) </w:t>
      </w:r>
      <w:r w:rsidRPr="00201B2A">
        <w:rPr>
          <w:rFonts w:ascii="Tahoma" w:hAnsi="Tahoma" w:cs="Tahoma"/>
          <w:b/>
          <w:bCs/>
          <w:color w:val="C00000"/>
          <w:sz w:val="28"/>
          <w:szCs w:val="28"/>
        </w:rPr>
        <w:t>Primary School</w:t>
      </w:r>
    </w:p>
    <w:p w14:paraId="667F3F5F" w14:textId="4357C2DE" w:rsidR="00ED4B99" w:rsidRDefault="00ED4B99" w:rsidP="00ED4B99">
      <w:pPr>
        <w:jc w:val="center"/>
        <w:rPr>
          <w:rFonts w:cs="Arial"/>
          <w:b/>
          <w:bCs/>
        </w:rPr>
      </w:pPr>
      <w:r>
        <w:rPr>
          <w:rFonts w:cs="Arial"/>
          <w:b/>
          <w:bCs/>
          <w:noProof/>
        </w:rPr>
        <w:drawing>
          <wp:anchor distT="0" distB="0" distL="114300" distR="114300" simplePos="0" relativeHeight="251659264" behindDoc="1" locked="0" layoutInCell="1" allowOverlap="1" wp14:anchorId="18DBA694" wp14:editId="7F4307FC">
            <wp:simplePos x="0" y="0"/>
            <wp:positionH relativeFrom="margin">
              <wp:align>center</wp:align>
            </wp:positionH>
            <wp:positionV relativeFrom="paragraph">
              <wp:posOffset>85725</wp:posOffset>
            </wp:positionV>
            <wp:extent cx="409575" cy="509270"/>
            <wp:effectExtent l="0" t="0" r="9525" b="508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575" cy="509270"/>
                    </a:xfrm>
                    <a:prstGeom prst="rect">
                      <a:avLst/>
                    </a:prstGeom>
                  </pic:spPr>
                </pic:pic>
              </a:graphicData>
            </a:graphic>
            <wp14:sizeRelH relativeFrom="page">
              <wp14:pctWidth>0</wp14:pctWidth>
            </wp14:sizeRelH>
            <wp14:sizeRelV relativeFrom="page">
              <wp14:pctHeight>0</wp14:pctHeight>
            </wp14:sizeRelV>
          </wp:anchor>
        </w:drawing>
      </w:r>
    </w:p>
    <w:p w14:paraId="3AAF020B" w14:textId="77777777" w:rsidR="00ED4B99" w:rsidRPr="005F0EAE" w:rsidRDefault="00ED4B99" w:rsidP="00ED4B99">
      <w:pPr>
        <w:jc w:val="center"/>
        <w:rPr>
          <w:rFonts w:cs="Arial"/>
          <w:b/>
          <w:bCs/>
        </w:rPr>
      </w:pPr>
    </w:p>
    <w:p w14:paraId="66EE345D" w14:textId="77777777" w:rsidR="00ED4B99" w:rsidRPr="00BF696E" w:rsidRDefault="00ED4B99" w:rsidP="00ED4B99">
      <w:pPr>
        <w:jc w:val="center"/>
        <w:rPr>
          <w:rFonts w:cs="Arial"/>
          <w:b/>
          <w:bCs/>
          <w:color w:val="990000"/>
        </w:rPr>
      </w:pPr>
      <w:r w:rsidRPr="005F0EAE">
        <w:rPr>
          <w:rFonts w:cs="Arial"/>
          <w:b/>
          <w:bCs/>
          <w:color w:val="990000"/>
        </w:rPr>
        <w:t xml:space="preserve">“Let your light </w:t>
      </w:r>
      <w:proofErr w:type="gramStart"/>
      <w:r w:rsidRPr="005F0EAE">
        <w:rPr>
          <w:rFonts w:cs="Arial"/>
          <w:b/>
          <w:bCs/>
          <w:color w:val="990000"/>
        </w:rPr>
        <w:t>shine”…</w:t>
      </w:r>
      <w:proofErr w:type="gramEnd"/>
      <w:r w:rsidRPr="005F0EAE">
        <w:rPr>
          <w:rFonts w:cs="Arial"/>
          <w:b/>
          <w:bCs/>
          <w:color w:val="990000"/>
        </w:rPr>
        <w:t>……Matthew 5:16</w:t>
      </w:r>
    </w:p>
    <w:p w14:paraId="725E0091" w14:textId="77777777" w:rsidR="00ED4B99" w:rsidRPr="00ED4B99" w:rsidRDefault="00ED4B99" w:rsidP="00ED4B99">
      <w:pPr>
        <w:jc w:val="center"/>
        <w:rPr>
          <w:b/>
          <w:bCs/>
        </w:rPr>
      </w:pPr>
    </w:p>
    <w:p w14:paraId="2A7D54B1" w14:textId="31CBE214" w:rsidR="00E66558" w:rsidRDefault="009D71E8" w:rsidP="00ED4B99">
      <w:pPr>
        <w:jc w:val="center"/>
        <w:rPr>
          <w:b/>
          <w:bCs/>
        </w:rPr>
      </w:pPr>
      <w:r w:rsidRPr="00ED4B99">
        <w:rPr>
          <w:b/>
          <w:bCs/>
        </w:rPr>
        <w:t xml:space="preserve">Pupil </w:t>
      </w:r>
      <w:r w:rsidR="00ED4B99">
        <w:rPr>
          <w:b/>
          <w:bCs/>
        </w:rPr>
        <w:t>P</w:t>
      </w:r>
      <w:r w:rsidRPr="00ED4B99">
        <w:rPr>
          <w:b/>
          <w:bCs/>
        </w:rPr>
        <w:t xml:space="preserve">remium </w:t>
      </w:r>
      <w:r w:rsidR="00ED4B99">
        <w:rPr>
          <w:b/>
          <w:bCs/>
        </w:rPr>
        <w:t>S</w:t>
      </w:r>
      <w:r w:rsidRPr="00ED4B99">
        <w:rPr>
          <w:b/>
          <w:bCs/>
        </w:rPr>
        <w:t>trategy</w:t>
      </w:r>
      <w:r w:rsidR="00E81E8E">
        <w:rPr>
          <w:b/>
          <w:bCs/>
        </w:rPr>
        <w:t xml:space="preserve"> and Recovery Premium</w:t>
      </w:r>
      <w:r w:rsidRPr="00ED4B99">
        <w:rPr>
          <w:b/>
          <w:bCs/>
        </w:rPr>
        <w:t xml:space="preserve"> </w:t>
      </w:r>
      <w:r w:rsidR="00E81E8E">
        <w:rPr>
          <w:b/>
          <w:bCs/>
        </w:rPr>
        <w:t>S</w:t>
      </w:r>
      <w:r w:rsidRPr="00ED4B99">
        <w:rPr>
          <w:b/>
          <w:bCs/>
        </w:rPr>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75ACE9A9" w14:textId="3EEE74C0" w:rsidR="00E81E8E" w:rsidRDefault="00337818" w:rsidP="00ED4B99">
      <w:pPr>
        <w:jc w:val="center"/>
        <w:rPr>
          <w:b/>
          <w:bCs/>
        </w:rPr>
      </w:pPr>
      <w:r>
        <w:rPr>
          <w:b/>
          <w:bCs/>
        </w:rPr>
        <w:t>April</w:t>
      </w:r>
      <w:r w:rsidR="00E81E8E">
        <w:rPr>
          <w:b/>
          <w:bCs/>
        </w:rPr>
        <w:t xml:space="preserve"> 202</w:t>
      </w:r>
      <w:r>
        <w:rPr>
          <w:b/>
          <w:bCs/>
        </w:rPr>
        <w:t>5</w:t>
      </w:r>
    </w:p>
    <w:p w14:paraId="67509036" w14:textId="7F0066EC" w:rsidR="00223C99" w:rsidRPr="00ED4B99" w:rsidRDefault="00223C99" w:rsidP="00ED4B99">
      <w:pPr>
        <w:jc w:val="center"/>
        <w:rPr>
          <w:b/>
          <w:bCs/>
        </w:rPr>
      </w:pPr>
      <w:r>
        <w:rPr>
          <w:b/>
          <w:bCs/>
        </w:rPr>
        <w:t xml:space="preserve">Updated </w:t>
      </w:r>
      <w:r w:rsidR="00337818">
        <w:rPr>
          <w:b/>
          <w:bCs/>
        </w:rPr>
        <w:t>18</w:t>
      </w:r>
      <w:r w:rsidR="00337818" w:rsidRPr="00337818">
        <w:rPr>
          <w:b/>
          <w:bCs/>
          <w:vertAlign w:val="superscript"/>
        </w:rPr>
        <w:t>th</w:t>
      </w:r>
      <w:r w:rsidR="00337818">
        <w:rPr>
          <w:b/>
          <w:bCs/>
        </w:rPr>
        <w:t xml:space="preserve"> March 2025</w:t>
      </w:r>
    </w:p>
    <w:p w14:paraId="2A7D54B2" w14:textId="63EC34EE" w:rsidR="00E66558" w:rsidRDefault="009D71E8" w:rsidP="000D5B8A">
      <w:pPr>
        <w:rPr>
          <w:b/>
        </w:rPr>
      </w:pPr>
      <w:r w:rsidRPr="00E81E8E">
        <w:t>This statement details our school’s use of pupil premium (and recovery premium for the 2021 to 2022 academic year) funding to help improve the attainment of our disadvantaged pupils</w:t>
      </w:r>
      <w:r>
        <w:t xml:space="preserve">.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0D5B8A" w:rsidRDefault="009D71E8">
      <w:pPr>
        <w:pStyle w:val="Heading2"/>
        <w:rPr>
          <w:color w:val="632423" w:themeColor="accent2" w:themeShade="80"/>
        </w:rPr>
      </w:pPr>
      <w:r w:rsidRPr="000D5B8A">
        <w:rPr>
          <w:color w:val="632423" w:themeColor="accent2" w:themeShade="80"/>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63A7A72" w:rsidR="00E66558" w:rsidRDefault="008E7FBC">
            <w:pPr>
              <w:pStyle w:val="TableRow"/>
            </w:pPr>
            <w:r>
              <w:t>Broadbottom CE (VC)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3E16285" w:rsidR="00E66558" w:rsidRDefault="008E7FBC">
            <w:pPr>
              <w:pStyle w:val="TableRow"/>
            </w:pPr>
            <w:r>
              <w:t>8</w:t>
            </w:r>
            <w:r w:rsidR="00337818">
              <w:t>6</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5207181" w:rsidR="00E66558" w:rsidRDefault="008E7FBC">
            <w:pPr>
              <w:pStyle w:val="TableRow"/>
            </w:pPr>
            <w:r>
              <w:t>2</w:t>
            </w:r>
            <w:r w:rsidR="00337818">
              <w:t>7</w:t>
            </w:r>
            <w:r>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DC4C0A9" w:rsidR="00E66558" w:rsidRDefault="008E7FBC">
            <w:pPr>
              <w:pStyle w:val="TableRow"/>
            </w:pPr>
            <w:r>
              <w:t>202</w:t>
            </w:r>
            <w:r w:rsidR="00337818">
              <w:t>5</w:t>
            </w:r>
            <w:r>
              <w:t xml:space="preserve"> - 202</w:t>
            </w:r>
            <w:r w:rsidR="00337818">
              <w:t>8</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A80EC58" w:rsidR="00E66558" w:rsidRDefault="00223C99" w:rsidP="00223C99">
            <w:pPr>
              <w:pStyle w:val="TableRow"/>
              <w:ind w:left="0"/>
            </w:pPr>
            <w:r>
              <w:t>1</w:t>
            </w:r>
            <w:r w:rsidR="00337818">
              <w:t>8</w:t>
            </w:r>
            <w:r>
              <w:t>.</w:t>
            </w:r>
            <w:r w:rsidR="00337818">
              <w:t>03</w:t>
            </w:r>
            <w:r>
              <w:t>.2</w:t>
            </w:r>
            <w:r w:rsidR="00337818">
              <w:t>5</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02FF863" w:rsidR="00E66558" w:rsidRDefault="00337818">
            <w:pPr>
              <w:pStyle w:val="TableRow"/>
            </w:pPr>
            <w:r>
              <w:t>17</w:t>
            </w:r>
            <w:r w:rsidR="00223C99">
              <w:t>.</w:t>
            </w:r>
            <w:r>
              <w:t>03</w:t>
            </w:r>
            <w:r w:rsidR="00223C99">
              <w:t>.2</w:t>
            </w:r>
            <w:r>
              <w:t>026</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9BAB522" w:rsidR="00E66558" w:rsidRDefault="00337818">
            <w:pPr>
              <w:pStyle w:val="TableRow"/>
            </w:pPr>
            <w:r>
              <w:t>Joanne Marrow</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14CFA30" w:rsidR="00E66558" w:rsidRDefault="008E7FBC" w:rsidP="008E7FBC">
            <w:pPr>
              <w:pStyle w:val="TableRow"/>
              <w:ind w:left="0"/>
            </w:pPr>
            <w:r>
              <w:t>Joanne Marrow</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4CB17C1" w:rsidR="00E66558" w:rsidRDefault="00223C99">
            <w:pPr>
              <w:pStyle w:val="TableRow"/>
            </w:pPr>
            <w:r>
              <w:t>Jaci Nelson</w:t>
            </w:r>
          </w:p>
        </w:tc>
      </w:tr>
      <w:bookmarkEnd w:id="2"/>
      <w:bookmarkEnd w:id="3"/>
      <w:bookmarkEnd w:id="4"/>
    </w:tbl>
    <w:p w14:paraId="6C507CAD" w14:textId="77777777" w:rsidR="00223C99" w:rsidRDefault="00223C99">
      <w:pPr>
        <w:spacing w:before="480" w:line="240" w:lineRule="auto"/>
        <w:rPr>
          <w:b/>
          <w:color w:val="632423" w:themeColor="accent2" w:themeShade="80"/>
          <w:sz w:val="32"/>
          <w:szCs w:val="32"/>
        </w:rPr>
      </w:pPr>
    </w:p>
    <w:p w14:paraId="388EAB5F" w14:textId="77777777" w:rsidR="00223C99" w:rsidRDefault="00223C99">
      <w:pPr>
        <w:spacing w:before="480" w:line="240" w:lineRule="auto"/>
        <w:rPr>
          <w:b/>
          <w:color w:val="632423" w:themeColor="accent2" w:themeShade="80"/>
          <w:sz w:val="32"/>
          <w:szCs w:val="32"/>
        </w:rPr>
      </w:pPr>
    </w:p>
    <w:p w14:paraId="2A7D54D3" w14:textId="66CBEEA2" w:rsidR="00E66558" w:rsidRPr="000D5B8A" w:rsidRDefault="009D71E8">
      <w:pPr>
        <w:spacing w:before="480" w:line="240" w:lineRule="auto"/>
        <w:rPr>
          <w:b/>
          <w:color w:val="632423" w:themeColor="accent2" w:themeShade="80"/>
          <w:sz w:val="32"/>
          <w:szCs w:val="32"/>
        </w:rPr>
      </w:pPr>
      <w:r w:rsidRPr="000D5B8A">
        <w:rPr>
          <w:b/>
          <w:color w:val="632423" w:themeColor="accent2" w:themeShade="80"/>
          <w:sz w:val="32"/>
          <w:szCs w:val="32"/>
        </w:rP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A1DAB58" w:rsidR="00E66558" w:rsidRDefault="009D71E8">
            <w:pPr>
              <w:pStyle w:val="TableRow"/>
            </w:pPr>
            <w:r>
              <w:t>£</w:t>
            </w:r>
            <w:r w:rsidR="00337818">
              <w:t>50,340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AAB9A91" w:rsidR="00E66558" w:rsidRDefault="009D71E8">
            <w:pPr>
              <w:pStyle w:val="TableRow"/>
            </w:pPr>
            <w:r>
              <w:t>£</w:t>
            </w:r>
            <w:r w:rsidR="00452A9F">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0DD80087" w:rsidR="00E66558" w:rsidRDefault="009D71E8">
            <w:pPr>
              <w:pStyle w:val="TableRow"/>
            </w:pPr>
            <w:r>
              <w:t xml:space="preserve">Pupil premium 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9296EBE" w:rsidR="00E66558" w:rsidRDefault="009D71E8">
            <w:pPr>
              <w:pStyle w:val="TableRow"/>
            </w:pPr>
            <w:r w:rsidRPr="00A87A52">
              <w:t>£</w:t>
            </w:r>
            <w:r w:rsidR="008E7FBC" w:rsidRPr="00A87A52">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5B0D5" w14:textId="1646A1A5" w:rsidR="00E66558" w:rsidRDefault="009D71E8">
            <w:pPr>
              <w:pStyle w:val="TableRow"/>
            </w:pPr>
            <w:r>
              <w:t>£</w:t>
            </w:r>
            <w:r w:rsidR="00452A9F">
              <w:t>50,340</w:t>
            </w:r>
          </w:p>
          <w:p w14:paraId="1B268C3A" w14:textId="77777777" w:rsidR="008E7FBC" w:rsidRDefault="008E7FBC">
            <w:pPr>
              <w:pStyle w:val="TableRow"/>
            </w:pPr>
          </w:p>
          <w:p w14:paraId="2A7D54E2" w14:textId="5CDA2470" w:rsidR="008E7FBC" w:rsidRDefault="008E7FBC">
            <w:pPr>
              <w:pStyle w:val="TableRow"/>
            </w:pPr>
            <w:r>
              <w:t>No</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65172" w14:textId="6D868AEE" w:rsidR="00103991" w:rsidRPr="00E67489" w:rsidRDefault="00103991">
            <w:pPr>
              <w:spacing w:before="120"/>
            </w:pPr>
            <w:r w:rsidRPr="00E67489">
              <w:t xml:space="preserve">At Broadbottom CE (VC) Primary school, it is our intention that all pupils </w:t>
            </w:r>
            <w:r w:rsidR="00712F10" w:rsidRPr="00E67489">
              <w:t>regardless</w:t>
            </w:r>
            <w:r w:rsidRPr="00E67489">
              <w:t xml:space="preserve"> of their background </w:t>
            </w:r>
            <w:r w:rsidR="00712F10" w:rsidRPr="00E67489">
              <w:t>or</w:t>
            </w:r>
            <w:r w:rsidRPr="00E67489">
              <w:t xml:space="preserve"> personal challenges</w:t>
            </w:r>
            <w:r w:rsidR="00712F10" w:rsidRPr="00E67489">
              <w:t>,</w:t>
            </w:r>
            <w:r w:rsidRPr="00E67489">
              <w:t xml:space="preserve"> </w:t>
            </w:r>
            <w:r w:rsidR="00600380" w:rsidRPr="00E67489">
              <w:t xml:space="preserve">have the best chances to </w:t>
            </w:r>
            <w:r w:rsidRPr="00E67489">
              <w:t xml:space="preserve">make good progress and reach age related expectation across all subjects. </w:t>
            </w:r>
            <w:r w:rsidR="00712F10" w:rsidRPr="00E67489">
              <w:t>The focus of this strategy</w:t>
            </w:r>
            <w:r w:rsidRPr="00E67489">
              <w:t xml:space="preserve"> is to demonstrate how the school will support disadvantaged pupils to achieve this goal </w:t>
            </w:r>
            <w:r w:rsidR="00712F10" w:rsidRPr="00E67489">
              <w:t>including progress for already high attainers.</w:t>
            </w:r>
          </w:p>
          <w:p w14:paraId="3D061444" w14:textId="14C9AA66" w:rsidR="00600380" w:rsidRPr="00E67489" w:rsidRDefault="00712F10" w:rsidP="00600380">
            <w:pPr>
              <w:spacing w:before="120"/>
            </w:pPr>
            <w:r w:rsidRPr="00E67489">
              <w:t>Within the strategy we will consider vulnerable pupils and the challenges they face. This will include children with a social worker and those who are young carers. These pupils will be supported regardless of whether they are disadvantaged or</w:t>
            </w:r>
            <w:r w:rsidR="00600380" w:rsidRPr="00E67489">
              <w:t xml:space="preserve"> </w:t>
            </w:r>
            <w:r w:rsidR="001A0BEA" w:rsidRPr="00E67489">
              <w:t>not.</w:t>
            </w:r>
          </w:p>
          <w:p w14:paraId="6C059895" w14:textId="387842D9" w:rsidR="00600380" w:rsidRDefault="00600380" w:rsidP="00600380">
            <w:pPr>
              <w:rPr>
                <w:rFonts w:cs="Arial"/>
                <w:iCs/>
                <w:color w:val="auto"/>
                <w:lang w:val="en-US"/>
              </w:rPr>
            </w:pPr>
            <w:r>
              <w:rPr>
                <w:rFonts w:cs="Arial"/>
                <w:iCs/>
                <w:color w:val="auto"/>
                <w:lang w:val="en-US"/>
              </w:rPr>
              <w:t>A</w:t>
            </w:r>
            <w:r w:rsidRPr="00E27862">
              <w:rPr>
                <w:rFonts w:cs="Arial"/>
                <w:iCs/>
                <w:color w:val="auto"/>
                <w:lang w:val="en-US"/>
              </w:rPr>
              <w:t xml:space="preserve">t the heart of our </w:t>
            </w:r>
            <w:r w:rsidR="00452A9F" w:rsidRPr="00E27862">
              <w:rPr>
                <w:rFonts w:cs="Arial"/>
                <w:iCs/>
                <w:color w:val="auto"/>
                <w:lang w:val="en-US"/>
              </w:rPr>
              <w:t>approach</w:t>
            </w:r>
            <w:r>
              <w:rPr>
                <w:rFonts w:cs="Arial"/>
                <w:iCs/>
                <w:color w:val="auto"/>
                <w:lang w:val="en-US"/>
              </w:rPr>
              <w:t xml:space="preserve"> is</w:t>
            </w:r>
            <w:r w:rsidRPr="00E27862">
              <w:rPr>
                <w:rFonts w:cs="Arial"/>
                <w:iCs/>
                <w:color w:val="auto"/>
                <w:lang w:val="en-US"/>
              </w:rPr>
              <w:t xml:space="preserve"> </w:t>
            </w:r>
            <w:r>
              <w:rPr>
                <w:rFonts w:cs="Arial"/>
                <w:iCs/>
                <w:color w:val="auto"/>
                <w:lang w:val="en-US"/>
              </w:rPr>
              <w:t>h</w:t>
            </w:r>
            <w:r w:rsidRPr="00E27862">
              <w:rPr>
                <w:rFonts w:cs="Arial"/>
                <w:iCs/>
                <w:color w:val="auto"/>
                <w:lang w:val="en-US"/>
              </w:rPr>
              <w:t>igh-quality teaching, with a</w:t>
            </w:r>
            <w:r>
              <w:rPr>
                <w:rFonts w:cs="Arial"/>
                <w:iCs/>
                <w:color w:val="auto"/>
                <w:lang w:val="en-US"/>
              </w:rPr>
              <w:t xml:space="preserve"> specific</w:t>
            </w:r>
            <w:r w:rsidRPr="00E27862">
              <w:rPr>
                <w:rFonts w:cs="Arial"/>
                <w:iCs/>
                <w:color w:val="auto"/>
                <w:lang w:val="en-US"/>
              </w:rPr>
              <w:t xml:space="preserve"> focus on areas in which disadvantaged pupils require the most support. This </w:t>
            </w:r>
            <w:r w:rsidR="00452A9F" w:rsidRPr="00E27862">
              <w:rPr>
                <w:rFonts w:cs="Arial"/>
                <w:iCs/>
                <w:color w:val="auto"/>
                <w:lang w:val="en-US"/>
              </w:rPr>
              <w:t>has</w:t>
            </w:r>
            <w:r w:rsidRPr="00E27862">
              <w:rPr>
                <w:rFonts w:cs="Arial"/>
                <w:iCs/>
                <w:color w:val="auto"/>
                <w:lang w:val="en-US"/>
              </w:rPr>
              <w:t xml:space="preserve"> proven to have the greatest impact on closing the disadvantage attainment gap and at the same time will benefit the non-disadvantaged pupils in our school. </w:t>
            </w:r>
            <w:r w:rsidR="0045152E">
              <w:rPr>
                <w:rFonts w:cs="Arial"/>
                <w:iCs/>
                <w:color w:val="auto"/>
                <w:lang w:val="en-US"/>
              </w:rPr>
              <w:t xml:space="preserve">Inherent within this </w:t>
            </w:r>
            <w:r w:rsidR="00452A9F">
              <w:rPr>
                <w:rFonts w:cs="Arial"/>
                <w:iCs/>
                <w:color w:val="auto"/>
                <w:lang w:val="en-US"/>
              </w:rPr>
              <w:t>strategy</w:t>
            </w:r>
            <w:r w:rsidR="0045152E">
              <w:rPr>
                <w:rFonts w:cs="Arial"/>
                <w:iCs/>
                <w:color w:val="auto"/>
                <w:lang w:val="en-US"/>
              </w:rPr>
              <w:t xml:space="preserve"> is the intention to sustain and improve the attainment of non-disadvantaged pupils, whilst improving progress for peers from the disadvantaged group.</w:t>
            </w:r>
          </w:p>
          <w:p w14:paraId="2D443EA9" w14:textId="4BEEA263" w:rsidR="00600380" w:rsidRPr="00E27862" w:rsidRDefault="0045152E" w:rsidP="00600380">
            <w:pPr>
              <w:rPr>
                <w:iCs/>
                <w:color w:val="auto"/>
                <w:lang w:val="en-US"/>
              </w:rPr>
            </w:pPr>
            <w:r>
              <w:rPr>
                <w:iCs/>
                <w:color w:val="auto"/>
                <w:lang w:val="en-US"/>
              </w:rPr>
              <w:t xml:space="preserve">Integral to the plan is a focus on wider school </w:t>
            </w:r>
            <w:r w:rsidR="00483BDF">
              <w:rPr>
                <w:iCs/>
                <w:color w:val="auto"/>
                <w:lang w:val="en-US"/>
              </w:rPr>
              <w:t xml:space="preserve">recovery to improve the quality of teaching through </w:t>
            </w:r>
            <w:r w:rsidR="00595DEE">
              <w:rPr>
                <w:iCs/>
                <w:color w:val="auto"/>
                <w:lang w:val="en-US"/>
              </w:rPr>
              <w:t>s</w:t>
            </w:r>
            <w:r w:rsidR="00483BDF">
              <w:rPr>
                <w:iCs/>
                <w:color w:val="auto"/>
                <w:lang w:val="en-US"/>
              </w:rPr>
              <w:t xml:space="preserve">taff professional development.  This is aimed at improving the </w:t>
            </w:r>
            <w:r w:rsidR="005B13E0">
              <w:rPr>
                <w:iCs/>
                <w:color w:val="auto"/>
                <w:lang w:val="en-US"/>
              </w:rPr>
              <w:t xml:space="preserve">quality of education for disadvantaged </w:t>
            </w:r>
            <w:r w:rsidR="00ED122E">
              <w:rPr>
                <w:iCs/>
                <w:color w:val="auto"/>
                <w:lang w:val="en-US"/>
              </w:rPr>
              <w:t>pupils through implicit training to meet their needs and will also benefit</w:t>
            </w:r>
            <w:r w:rsidR="005B13E0">
              <w:rPr>
                <w:iCs/>
                <w:color w:val="auto"/>
                <w:lang w:val="en-US"/>
              </w:rPr>
              <w:t xml:space="preserve"> non-disadvantaged learners.</w:t>
            </w:r>
            <w:r w:rsidR="00ED122E">
              <w:rPr>
                <w:iCs/>
                <w:color w:val="auto"/>
                <w:lang w:val="en-US"/>
              </w:rPr>
              <w:t xml:space="preserve"> In </w:t>
            </w:r>
            <w:r w:rsidR="00DC45A3">
              <w:rPr>
                <w:iCs/>
                <w:color w:val="auto"/>
                <w:lang w:val="en-US"/>
              </w:rPr>
              <w:t>addition,</w:t>
            </w:r>
            <w:r w:rsidR="00ED122E">
              <w:rPr>
                <w:iCs/>
                <w:color w:val="auto"/>
                <w:lang w:val="en-US"/>
              </w:rPr>
              <w:t xml:space="preserve"> </w:t>
            </w:r>
            <w:r w:rsidR="005521A4">
              <w:rPr>
                <w:iCs/>
                <w:color w:val="auto"/>
                <w:lang w:val="en-US"/>
              </w:rPr>
              <w:t xml:space="preserve">is </w:t>
            </w:r>
            <w:r w:rsidR="00DF0F8C">
              <w:rPr>
                <w:iCs/>
                <w:color w:val="auto"/>
                <w:lang w:val="en-US"/>
              </w:rPr>
              <w:t xml:space="preserve">the provision of targeted academic support through a digital teaching platform that focuses </w:t>
            </w:r>
            <w:r w:rsidR="00EC51FA">
              <w:rPr>
                <w:iCs/>
                <w:color w:val="auto"/>
                <w:lang w:val="en-US"/>
              </w:rPr>
              <w:t>on addressing</w:t>
            </w:r>
            <w:r w:rsidR="00ED122E">
              <w:rPr>
                <w:iCs/>
                <w:color w:val="auto"/>
                <w:lang w:val="en-US"/>
              </w:rPr>
              <w:t xml:space="preserve"> specific gaps in learning for disadvantaged pupils </w:t>
            </w:r>
            <w:r w:rsidR="00DF0F8C">
              <w:rPr>
                <w:iCs/>
                <w:color w:val="auto"/>
                <w:lang w:val="en-US"/>
              </w:rPr>
              <w:t>from their starting point.</w:t>
            </w:r>
          </w:p>
          <w:p w14:paraId="4CD82631" w14:textId="3D7EC342" w:rsidR="00600380" w:rsidRPr="00E27862" w:rsidRDefault="00600380" w:rsidP="00600380">
            <w:pPr>
              <w:spacing w:after="120"/>
              <w:rPr>
                <w:rFonts w:cs="Arial"/>
                <w:iCs/>
                <w:color w:val="auto"/>
                <w:lang w:val="en-US"/>
              </w:rPr>
            </w:pPr>
            <w:r w:rsidRPr="00E27862">
              <w:rPr>
                <w:rFonts w:cs="Arial"/>
                <w:iCs/>
                <w:color w:val="auto"/>
                <w:lang w:val="en-US"/>
              </w:rPr>
              <w:t xml:space="preserve">Our approach will be responsive to common challenges and individual needs, rooted in robust diagnostic assessment, </w:t>
            </w:r>
            <w:r w:rsidR="005B13E0">
              <w:rPr>
                <w:rFonts w:cs="Arial"/>
                <w:iCs/>
                <w:color w:val="auto"/>
                <w:lang w:val="en-US"/>
              </w:rPr>
              <w:t>namely track zone. This dispel</w:t>
            </w:r>
            <w:r w:rsidR="005521A4">
              <w:rPr>
                <w:rFonts w:cs="Arial"/>
                <w:iCs/>
                <w:color w:val="auto"/>
                <w:lang w:val="en-US"/>
              </w:rPr>
              <w:t>s</w:t>
            </w:r>
            <w:r w:rsidRPr="00E27862">
              <w:rPr>
                <w:rFonts w:cs="Arial"/>
                <w:iCs/>
                <w:color w:val="auto"/>
                <w:lang w:val="en-US"/>
              </w:rPr>
              <w:t xml:space="preserve"> assumptions about the impact of disadvantage</w:t>
            </w:r>
            <w:r w:rsidR="005521A4">
              <w:rPr>
                <w:rFonts w:cs="Arial"/>
                <w:iCs/>
                <w:color w:val="auto"/>
                <w:lang w:val="en-US"/>
              </w:rPr>
              <w:t>,</w:t>
            </w:r>
            <w:r w:rsidR="004730A4">
              <w:rPr>
                <w:rFonts w:cs="Arial"/>
                <w:iCs/>
                <w:color w:val="auto"/>
                <w:lang w:val="en-US"/>
              </w:rPr>
              <w:t xml:space="preserve"> and provide</w:t>
            </w:r>
            <w:r w:rsidR="005521A4">
              <w:rPr>
                <w:rFonts w:cs="Arial"/>
                <w:iCs/>
                <w:color w:val="auto"/>
                <w:lang w:val="en-US"/>
              </w:rPr>
              <w:t>s</w:t>
            </w:r>
            <w:r w:rsidR="004730A4">
              <w:rPr>
                <w:rFonts w:cs="Arial"/>
                <w:iCs/>
                <w:color w:val="auto"/>
                <w:lang w:val="en-US"/>
              </w:rPr>
              <w:t xml:space="preserve"> </w:t>
            </w:r>
            <w:r w:rsidR="00DF3700">
              <w:rPr>
                <w:rFonts w:cs="Arial"/>
                <w:iCs/>
                <w:color w:val="auto"/>
                <w:lang w:val="en-US"/>
              </w:rPr>
              <w:t>pupil</w:t>
            </w:r>
            <w:r w:rsidR="004730A4">
              <w:rPr>
                <w:rFonts w:cs="Arial"/>
                <w:iCs/>
                <w:color w:val="auto"/>
                <w:lang w:val="en-US"/>
              </w:rPr>
              <w:t xml:space="preserve"> profile</w:t>
            </w:r>
            <w:r w:rsidR="00DF3700">
              <w:rPr>
                <w:rFonts w:cs="Arial"/>
                <w:iCs/>
                <w:color w:val="auto"/>
                <w:lang w:val="en-US"/>
              </w:rPr>
              <w:t>s with data analysis,</w:t>
            </w:r>
            <w:r w:rsidR="004730A4">
              <w:rPr>
                <w:rFonts w:cs="Arial"/>
                <w:iCs/>
                <w:color w:val="auto"/>
                <w:lang w:val="en-US"/>
              </w:rPr>
              <w:t xml:space="preserve"> attainment and progress for pupils</w:t>
            </w:r>
            <w:r w:rsidR="005521A4">
              <w:rPr>
                <w:rFonts w:cs="Arial"/>
                <w:iCs/>
                <w:color w:val="auto"/>
                <w:lang w:val="en-US"/>
              </w:rPr>
              <w:t xml:space="preserve"> to support early intervention and</w:t>
            </w:r>
            <w:r w:rsidR="00DF3700">
              <w:rPr>
                <w:rFonts w:cs="Arial"/>
                <w:iCs/>
                <w:color w:val="auto"/>
                <w:lang w:val="en-US"/>
              </w:rPr>
              <w:t xml:space="preserve"> pinpoint</w:t>
            </w:r>
            <w:r w:rsidR="005521A4">
              <w:rPr>
                <w:rFonts w:cs="Arial"/>
                <w:iCs/>
                <w:color w:val="auto"/>
                <w:lang w:val="en-US"/>
              </w:rPr>
              <w:t xml:space="preserve"> key areas for support</w:t>
            </w:r>
            <w:r w:rsidR="004730A4">
              <w:rPr>
                <w:rFonts w:cs="Arial"/>
                <w:iCs/>
                <w:color w:val="auto"/>
                <w:lang w:val="en-US"/>
              </w:rPr>
              <w:t xml:space="preserve">. </w:t>
            </w:r>
            <w:r w:rsidRPr="00E27862">
              <w:rPr>
                <w:rFonts w:cs="Arial"/>
                <w:iCs/>
                <w:color w:val="auto"/>
                <w:lang w:val="en-US"/>
              </w:rPr>
              <w:t>The approaches we have adopted complement each other to help pupils excel. To ensure they are effective we will:</w:t>
            </w:r>
          </w:p>
          <w:p w14:paraId="1B3DF155" w14:textId="0D4DF3F5" w:rsidR="00600380" w:rsidRPr="00E27862" w:rsidRDefault="00600380" w:rsidP="00600380">
            <w:pPr>
              <w:numPr>
                <w:ilvl w:val="0"/>
                <w:numId w:val="14"/>
              </w:numPr>
              <w:suppressAutoHyphens w:val="0"/>
              <w:autoSpaceDN/>
              <w:contextualSpacing/>
              <w:rPr>
                <w:rFonts w:cs="Arial"/>
                <w:iCs/>
                <w:color w:val="auto"/>
                <w:lang w:val="en-US"/>
              </w:rPr>
            </w:pPr>
            <w:r w:rsidRPr="00E27862">
              <w:rPr>
                <w:rFonts w:cs="Arial"/>
                <w:iCs/>
                <w:color w:val="auto"/>
                <w:lang w:val="en-US"/>
              </w:rPr>
              <w:t xml:space="preserve">ensure </w:t>
            </w:r>
            <w:r w:rsidR="004730A4">
              <w:rPr>
                <w:rFonts w:cs="Arial"/>
                <w:iCs/>
                <w:color w:val="auto"/>
                <w:lang w:val="en-US"/>
              </w:rPr>
              <w:t xml:space="preserve">that </w:t>
            </w:r>
            <w:r w:rsidRPr="00E27862">
              <w:rPr>
                <w:rFonts w:cs="Arial"/>
                <w:iCs/>
                <w:color w:val="auto"/>
                <w:lang w:val="en-US"/>
              </w:rPr>
              <w:t xml:space="preserve">disadvantaged pupils are </w:t>
            </w:r>
            <w:r w:rsidR="004730A4">
              <w:rPr>
                <w:rFonts w:cs="Arial"/>
                <w:iCs/>
                <w:color w:val="auto"/>
                <w:lang w:val="en-US"/>
              </w:rPr>
              <w:t xml:space="preserve">supported and </w:t>
            </w:r>
            <w:r w:rsidRPr="00E27862">
              <w:rPr>
                <w:rFonts w:cs="Arial"/>
                <w:iCs/>
                <w:color w:val="auto"/>
                <w:lang w:val="en-US"/>
              </w:rPr>
              <w:t xml:space="preserve">challenged </w:t>
            </w:r>
            <w:r w:rsidR="004730A4">
              <w:rPr>
                <w:rFonts w:cs="Arial"/>
                <w:iCs/>
                <w:color w:val="auto"/>
                <w:lang w:val="en-US"/>
              </w:rPr>
              <w:t xml:space="preserve">through high expectations of their outcomes </w:t>
            </w:r>
            <w:r w:rsidRPr="00E27862">
              <w:rPr>
                <w:rFonts w:cs="Arial"/>
                <w:iCs/>
                <w:color w:val="auto"/>
                <w:lang w:val="en-US"/>
              </w:rPr>
              <w:t>in the work th</w:t>
            </w:r>
            <w:r w:rsidR="004730A4">
              <w:rPr>
                <w:rFonts w:cs="Arial"/>
                <w:iCs/>
                <w:color w:val="auto"/>
                <w:lang w:val="en-US"/>
              </w:rPr>
              <w:t>ey are</w:t>
            </w:r>
            <w:r w:rsidRPr="00E27862">
              <w:rPr>
                <w:rFonts w:cs="Arial"/>
                <w:iCs/>
                <w:color w:val="auto"/>
                <w:lang w:val="en-US"/>
              </w:rPr>
              <w:t xml:space="preserve"> set</w:t>
            </w:r>
          </w:p>
          <w:p w14:paraId="5B860D55" w14:textId="77777777" w:rsidR="005521A4" w:rsidRPr="005521A4" w:rsidRDefault="00600380" w:rsidP="005521A4">
            <w:pPr>
              <w:numPr>
                <w:ilvl w:val="0"/>
                <w:numId w:val="14"/>
              </w:numPr>
              <w:suppressAutoHyphens w:val="0"/>
              <w:autoSpaceDN/>
              <w:contextualSpacing/>
              <w:rPr>
                <w:rFonts w:cs="Arial"/>
                <w:iCs/>
                <w:color w:val="auto"/>
                <w:lang w:val="en-US"/>
              </w:rPr>
            </w:pPr>
            <w:r w:rsidRPr="00E27862">
              <w:rPr>
                <w:rFonts w:cs="Arial"/>
                <w:color w:val="auto"/>
              </w:rPr>
              <w:t xml:space="preserve">act </w:t>
            </w:r>
            <w:r w:rsidR="004730A4">
              <w:rPr>
                <w:rFonts w:cs="Arial"/>
                <w:color w:val="auto"/>
              </w:rPr>
              <w:t>swiftly through robust tracking to</w:t>
            </w:r>
            <w:r w:rsidRPr="00E27862">
              <w:rPr>
                <w:rFonts w:cs="Arial"/>
                <w:color w:val="auto"/>
              </w:rPr>
              <w:t xml:space="preserve"> </w:t>
            </w:r>
            <w:r w:rsidR="004730A4">
              <w:rPr>
                <w:rFonts w:cs="Arial"/>
                <w:color w:val="auto"/>
              </w:rPr>
              <w:t xml:space="preserve">identify pupils and </w:t>
            </w:r>
            <w:r w:rsidRPr="00E27862">
              <w:rPr>
                <w:rFonts w:cs="Arial"/>
                <w:color w:val="auto"/>
              </w:rPr>
              <w:t>intervene</w:t>
            </w:r>
            <w:r w:rsidR="004730A4">
              <w:rPr>
                <w:rFonts w:cs="Arial"/>
                <w:color w:val="auto"/>
              </w:rPr>
              <w:t xml:space="preserve"> early to add</w:t>
            </w:r>
            <w:r w:rsidR="005521A4">
              <w:rPr>
                <w:rFonts w:cs="Arial"/>
                <w:color w:val="auto"/>
              </w:rPr>
              <w:t>r</w:t>
            </w:r>
            <w:r w:rsidR="004730A4">
              <w:rPr>
                <w:rFonts w:cs="Arial"/>
                <w:color w:val="auto"/>
              </w:rPr>
              <w:t>ess need</w:t>
            </w:r>
          </w:p>
          <w:p w14:paraId="21BC8B52" w14:textId="4951A079" w:rsidR="00712F10" w:rsidRPr="005521A4" w:rsidRDefault="00600380" w:rsidP="005521A4">
            <w:pPr>
              <w:numPr>
                <w:ilvl w:val="0"/>
                <w:numId w:val="14"/>
              </w:numPr>
              <w:suppressAutoHyphens w:val="0"/>
              <w:autoSpaceDN/>
              <w:contextualSpacing/>
              <w:rPr>
                <w:rFonts w:cs="Arial"/>
                <w:iCs/>
                <w:color w:val="auto"/>
                <w:lang w:val="en-US"/>
              </w:rPr>
            </w:pPr>
            <w:r w:rsidRPr="005521A4">
              <w:rPr>
                <w:rFonts w:cs="Arial"/>
                <w:color w:val="auto"/>
              </w:rPr>
              <w:t>adopt a whole school approach in which all staff take responsibility for disadvantaged pupils’ outcomes and raise expectations of what they can achieve</w:t>
            </w:r>
          </w:p>
          <w:p w14:paraId="2A7D54E9" w14:textId="37ACC6E3" w:rsidR="00E66558" w:rsidRDefault="00E66558" w:rsidP="004730A4">
            <w:pPr>
              <w:pStyle w:val="ListParagraph"/>
              <w:numPr>
                <w:ilvl w:val="0"/>
                <w:numId w:val="0"/>
              </w:numPr>
              <w:ind w:left="720"/>
              <w:rPr>
                <w:i/>
                <w:iCs/>
              </w:rPr>
            </w:pPr>
          </w:p>
        </w:tc>
      </w:tr>
    </w:tbl>
    <w:p w14:paraId="2A7D54EB" w14:textId="77777777" w:rsidR="00E66558" w:rsidRPr="001A0BEA" w:rsidRDefault="009D71E8" w:rsidP="001A0BEA">
      <w:pPr>
        <w:pStyle w:val="Heading2"/>
        <w:rPr>
          <w:color w:val="632423" w:themeColor="accent2" w:themeShade="80"/>
        </w:rPr>
      </w:pPr>
      <w:r w:rsidRPr="001A0BEA">
        <w:rPr>
          <w:color w:val="632423" w:themeColor="accent2" w:themeShade="80"/>
        </w:rP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5AFA7CC" w:rsidR="00E66558" w:rsidRDefault="00DC45A3">
            <w:pPr>
              <w:pStyle w:val="TableRowCentered"/>
              <w:jc w:val="left"/>
            </w:pPr>
            <w:r>
              <w:t>Assessment</w:t>
            </w:r>
            <w:r w:rsidR="00E06B19">
              <w:t>s</w:t>
            </w:r>
            <w:r>
              <w:t xml:space="preserve">, </w:t>
            </w:r>
            <w:r w:rsidR="00E42DB3">
              <w:t>data,</w:t>
            </w:r>
            <w:r>
              <w:t xml:space="preserve"> and </w:t>
            </w:r>
            <w:r w:rsidR="00473296">
              <w:t xml:space="preserve">observations suggest that pupils from disadvantaged groups have greater difficulty acquiring </w:t>
            </w:r>
            <w:r w:rsidR="003F1BF6">
              <w:t xml:space="preserve">phonetic skills and knowledge. This </w:t>
            </w:r>
            <w:r w:rsidR="00B9777D">
              <w:t>in turn</w:t>
            </w:r>
            <w:r w:rsidR="003F1BF6">
              <w:t xml:space="preserve"> has an impact on their reading </w:t>
            </w:r>
            <w:r w:rsidR="00B9777D">
              <w:t>development and writing skills.</w:t>
            </w:r>
            <w:r w:rsidR="003F1BF6">
              <w:t xml:space="preserv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D8D61EF" w:rsidR="00E66558" w:rsidRDefault="00B9777D">
            <w:pPr>
              <w:pStyle w:val="TableRowCentered"/>
              <w:jc w:val="left"/>
              <w:rPr>
                <w:sz w:val="22"/>
                <w:szCs w:val="22"/>
              </w:rPr>
            </w:pPr>
            <w:r>
              <w:rPr>
                <w:sz w:val="22"/>
                <w:szCs w:val="22"/>
              </w:rPr>
              <w:t>Internal data from assessments indicate that maths attainment amongst disadvantaged pupils is significantly below that of non-disadvantaged in most cases.</w:t>
            </w:r>
          </w:p>
        </w:tc>
      </w:tr>
      <w:tr w:rsidR="00E06B19" w14:paraId="00C59D4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3D5A8" w14:textId="382FAA39" w:rsidR="00E06B19" w:rsidRDefault="00E06B19">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5B5C" w14:textId="0C198607" w:rsidR="00E06B19" w:rsidRDefault="00E06B19">
            <w:pPr>
              <w:pStyle w:val="TableRowCentered"/>
              <w:jc w:val="left"/>
              <w:rPr>
                <w:sz w:val="22"/>
                <w:szCs w:val="22"/>
              </w:rPr>
            </w:pPr>
            <w:r>
              <w:rPr>
                <w:sz w:val="22"/>
                <w:szCs w:val="22"/>
              </w:rPr>
              <w:t xml:space="preserve">Assessments, </w:t>
            </w:r>
            <w:r w:rsidR="00E42DB3">
              <w:rPr>
                <w:sz w:val="22"/>
                <w:szCs w:val="22"/>
              </w:rPr>
              <w:t>data,</w:t>
            </w:r>
            <w:r>
              <w:rPr>
                <w:sz w:val="22"/>
                <w:szCs w:val="22"/>
              </w:rPr>
              <w:t xml:space="preserve"> and </w:t>
            </w:r>
            <w:r w:rsidR="00E42DB3">
              <w:rPr>
                <w:sz w:val="22"/>
                <w:szCs w:val="22"/>
              </w:rPr>
              <w:t>observations indicate</w:t>
            </w:r>
            <w:r>
              <w:rPr>
                <w:sz w:val="22"/>
                <w:szCs w:val="22"/>
              </w:rPr>
              <w:t xml:space="preserve"> that some pupils have underdeveloped oral language skills and gaps in vocabulary. This is more prevalent in </w:t>
            </w:r>
            <w:r w:rsidR="00E42DB3">
              <w:rPr>
                <w:sz w:val="22"/>
                <w:szCs w:val="22"/>
              </w:rPr>
              <w:t>disadvantaged</w:t>
            </w:r>
            <w:r>
              <w:rPr>
                <w:sz w:val="22"/>
                <w:szCs w:val="22"/>
              </w:rPr>
              <w:t xml:space="preserve"> leaners</w:t>
            </w:r>
            <w:r w:rsidR="00E42DB3">
              <w:rPr>
                <w:sz w:val="22"/>
                <w:szCs w:val="22"/>
              </w:rPr>
              <w:t xml:space="preserve"> than their peer</w:t>
            </w:r>
            <w:r>
              <w:rPr>
                <w:sz w:val="22"/>
                <w:szCs w:val="22"/>
              </w:rPr>
              <w:t xml:space="preserve"> and is evident from EYF</w:t>
            </w:r>
            <w:r w:rsidR="00E42DB3">
              <w:rPr>
                <w:sz w:val="22"/>
                <w:szCs w:val="22"/>
              </w:rPr>
              <w:t>S</w:t>
            </w:r>
            <w:r>
              <w:rPr>
                <w:sz w:val="22"/>
                <w:szCs w:val="22"/>
              </w:rPr>
              <w:t xml:space="preserve"> to KS</w:t>
            </w:r>
            <w:r w:rsidR="00E42DB3">
              <w:rPr>
                <w:sz w:val="22"/>
                <w:szCs w:val="22"/>
              </w:rPr>
              <w:t>2</w:t>
            </w:r>
            <w:r w:rsidR="009540E0">
              <w:rPr>
                <w:sz w:val="22"/>
                <w:szCs w:val="22"/>
              </w:rPr>
              <w:t>.</w:t>
            </w:r>
          </w:p>
        </w:tc>
      </w:tr>
      <w:tr w:rsidR="00B9777D"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430F6199" w:rsidR="00B9777D" w:rsidRDefault="00E06B19" w:rsidP="00B9777D">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1E309" w14:textId="2CD75FF8" w:rsidR="00B9777D" w:rsidRPr="00E27862" w:rsidRDefault="00B9777D" w:rsidP="00B9777D">
            <w:pPr>
              <w:suppressAutoHyphens w:val="0"/>
              <w:autoSpaceDN/>
              <w:spacing w:before="60" w:after="120" w:line="240" w:lineRule="auto"/>
              <w:ind w:left="57" w:right="57"/>
              <w:rPr>
                <w:rFonts w:cs="Arial"/>
                <w:color w:val="auto"/>
              </w:rPr>
            </w:pPr>
            <w:r>
              <w:rPr>
                <w:rFonts w:cs="Arial"/>
                <w:iCs/>
                <w:color w:val="auto"/>
              </w:rPr>
              <w:t>Data,</w:t>
            </w:r>
            <w:r w:rsidRPr="00E27862">
              <w:rPr>
                <w:rFonts w:cs="Arial"/>
                <w:iCs/>
                <w:color w:val="auto"/>
              </w:rPr>
              <w:t xml:space="preserve"> </w:t>
            </w:r>
            <w:r w:rsidR="005B5028" w:rsidRPr="00E27862">
              <w:rPr>
                <w:rFonts w:cs="Arial"/>
                <w:iCs/>
                <w:color w:val="auto"/>
              </w:rPr>
              <w:t>assessments,</w:t>
            </w:r>
            <w:r w:rsidRPr="00E27862">
              <w:rPr>
                <w:rFonts w:cs="Arial"/>
                <w:iCs/>
                <w:color w:val="auto"/>
              </w:rPr>
              <w:t xml:space="preserve"> and observations indicate that the education of </w:t>
            </w:r>
            <w:r>
              <w:rPr>
                <w:rFonts w:cs="Arial"/>
                <w:iCs/>
                <w:color w:val="auto"/>
              </w:rPr>
              <w:t>some</w:t>
            </w:r>
            <w:r w:rsidRPr="00E27862">
              <w:rPr>
                <w:rFonts w:cs="Arial"/>
                <w:color w:val="auto"/>
              </w:rPr>
              <w:t xml:space="preserve"> of our disadvantaged pupils ha</w:t>
            </w:r>
            <w:r>
              <w:rPr>
                <w:rFonts w:cs="Arial"/>
                <w:color w:val="auto"/>
              </w:rPr>
              <w:t>s</w:t>
            </w:r>
            <w:r w:rsidRPr="00E27862">
              <w:rPr>
                <w:rFonts w:cs="Arial"/>
                <w:color w:val="auto"/>
              </w:rPr>
              <w:t xml:space="preserve"> been impacted by partial school closures to a greater extent than for other pupils. These findings are supported by national studies. </w:t>
            </w:r>
          </w:p>
          <w:p w14:paraId="2A7D54F7" w14:textId="08D8BAC3" w:rsidR="00B9777D" w:rsidRDefault="00B9777D" w:rsidP="00B9777D">
            <w:pPr>
              <w:pStyle w:val="TableRowCentered"/>
              <w:jc w:val="left"/>
              <w:rPr>
                <w:sz w:val="22"/>
                <w:szCs w:val="22"/>
              </w:rPr>
            </w:pPr>
            <w:r w:rsidRPr="00E27862">
              <w:rPr>
                <w:rFonts w:cs="Arial"/>
                <w:color w:val="auto"/>
              </w:rPr>
              <w:t>This has resulted in knowledge gaps leading to pupils falling further behind age-related expectations</w:t>
            </w:r>
            <w:r>
              <w:rPr>
                <w:rFonts w:cs="Arial"/>
                <w:color w:val="auto"/>
              </w:rPr>
              <w:t xml:space="preserve"> especially in writing and maths.</w:t>
            </w:r>
          </w:p>
        </w:tc>
      </w:tr>
      <w:tr w:rsidR="00B9777D"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28114C80" w:rsidR="00B9777D" w:rsidRDefault="00E06B19" w:rsidP="00B9777D">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5DC9" w14:textId="71F4FEF6" w:rsidR="0053414B" w:rsidRPr="00E27862" w:rsidRDefault="00452A9F" w:rsidP="0053414B">
            <w:pPr>
              <w:suppressAutoHyphens w:val="0"/>
              <w:autoSpaceDN/>
              <w:spacing w:before="60" w:line="240" w:lineRule="auto"/>
              <w:ind w:left="57" w:right="57"/>
              <w:rPr>
                <w:rFonts w:cs="Arial"/>
                <w:iCs/>
                <w:color w:val="auto"/>
                <w:lang w:val="en-US"/>
              </w:rPr>
            </w:pPr>
            <w:r>
              <w:rPr>
                <w:rFonts w:cs="Arial"/>
                <w:iCs/>
                <w:color w:val="auto"/>
                <w:lang w:val="en-US"/>
              </w:rPr>
              <w:t>O</w:t>
            </w:r>
            <w:r w:rsidRPr="00E27862">
              <w:rPr>
                <w:rFonts w:cs="Arial"/>
                <w:iCs/>
                <w:color w:val="auto"/>
                <w:lang w:val="en-US"/>
              </w:rPr>
              <w:t>bservations</w:t>
            </w:r>
            <w:r>
              <w:rPr>
                <w:rFonts w:cs="Arial"/>
                <w:iCs/>
                <w:color w:val="auto"/>
                <w:lang w:val="en-US"/>
              </w:rPr>
              <w:t xml:space="preserve"> and</w:t>
            </w:r>
            <w:r w:rsidR="0053414B" w:rsidRPr="00E27862">
              <w:rPr>
                <w:rFonts w:cs="Arial"/>
                <w:iCs/>
                <w:color w:val="auto"/>
                <w:lang w:val="en-US"/>
              </w:rPr>
              <w:t xml:space="preserve"> discussions with pupils and</w:t>
            </w:r>
            <w:r w:rsidR="0053414B">
              <w:rPr>
                <w:rFonts w:cs="Arial"/>
                <w:iCs/>
                <w:color w:val="auto"/>
                <w:lang w:val="en-US"/>
              </w:rPr>
              <w:t xml:space="preserve"> </w:t>
            </w:r>
            <w:r w:rsidR="005B5028">
              <w:rPr>
                <w:rFonts w:cs="Arial"/>
                <w:iCs/>
                <w:color w:val="auto"/>
                <w:lang w:val="en-US"/>
              </w:rPr>
              <w:t>their</w:t>
            </w:r>
            <w:r w:rsidR="0053414B" w:rsidRPr="00E27862">
              <w:rPr>
                <w:rFonts w:cs="Arial"/>
                <w:iCs/>
                <w:color w:val="auto"/>
                <w:lang w:val="en-US"/>
              </w:rPr>
              <w:t xml:space="preserve"> families have identified social and emotional issues for </w:t>
            </w:r>
            <w:r w:rsidR="005B5028">
              <w:rPr>
                <w:rFonts w:cs="Arial"/>
                <w:iCs/>
                <w:color w:val="auto"/>
                <w:lang w:val="en-US"/>
              </w:rPr>
              <w:t>some</w:t>
            </w:r>
            <w:r w:rsidR="0053414B" w:rsidRPr="00E27862">
              <w:rPr>
                <w:rFonts w:cs="Arial"/>
                <w:iCs/>
                <w:color w:val="auto"/>
                <w:lang w:val="en-US"/>
              </w:rPr>
              <w:t xml:space="preserve"> pupils, notably due </w:t>
            </w:r>
            <w:r w:rsidR="005B5028">
              <w:rPr>
                <w:rFonts w:cs="Arial"/>
                <w:iCs/>
                <w:color w:val="auto"/>
                <w:lang w:val="en-US"/>
              </w:rPr>
              <w:t>to isolation, lack of enrichment and peer interaction</w:t>
            </w:r>
            <w:r w:rsidR="0053414B" w:rsidRPr="00E27862">
              <w:rPr>
                <w:rFonts w:cs="Arial"/>
                <w:iCs/>
                <w:color w:val="auto"/>
                <w:lang w:val="en-US"/>
              </w:rPr>
              <w:t xml:space="preserve"> during school closure. These challenges particularly affect disadvantaged pupils, including their attainment.</w:t>
            </w:r>
          </w:p>
          <w:p w14:paraId="2A7D54FA" w14:textId="387F28C7" w:rsidR="00B9777D" w:rsidRDefault="005B5028" w:rsidP="0053414B">
            <w:pPr>
              <w:pStyle w:val="TableRowCentered"/>
              <w:jc w:val="left"/>
              <w:rPr>
                <w:iCs/>
                <w:sz w:val="22"/>
              </w:rPr>
            </w:pPr>
            <w:r>
              <w:rPr>
                <w:rFonts w:cs="Arial"/>
                <w:color w:val="auto"/>
                <w:lang w:eastAsia="en-US"/>
              </w:rPr>
              <w:t>R</w:t>
            </w:r>
            <w:r w:rsidR="0053414B" w:rsidRPr="00E27862">
              <w:rPr>
                <w:rFonts w:cs="Arial"/>
                <w:color w:val="auto"/>
                <w:lang w:eastAsia="en-US"/>
              </w:rPr>
              <w:t xml:space="preserve">eferrals for support have increased during the pandemic. </w:t>
            </w:r>
            <w:r w:rsidR="00B136E2">
              <w:rPr>
                <w:rFonts w:cs="Arial"/>
                <w:color w:val="auto"/>
                <w:lang w:eastAsia="en-US"/>
              </w:rPr>
              <w:t>2</w:t>
            </w:r>
            <w:r w:rsidR="0053414B" w:rsidRPr="00E27862">
              <w:rPr>
                <w:rFonts w:cs="Arial"/>
                <w:color w:val="auto"/>
                <w:lang w:eastAsia="en-US"/>
              </w:rPr>
              <w:t xml:space="preserve"> pupils (</w:t>
            </w:r>
            <w:r w:rsidR="00E06B19">
              <w:rPr>
                <w:rFonts w:cs="Arial"/>
                <w:color w:val="auto"/>
                <w:lang w:eastAsia="en-US"/>
              </w:rPr>
              <w:t>1</w:t>
            </w:r>
            <w:r w:rsidR="0053414B" w:rsidRPr="00E27862">
              <w:rPr>
                <w:rFonts w:cs="Arial"/>
                <w:color w:val="auto"/>
                <w:lang w:eastAsia="en-US"/>
              </w:rPr>
              <w:t xml:space="preserve">of </w:t>
            </w:r>
            <w:r w:rsidR="00595DEE" w:rsidRPr="00E27862">
              <w:rPr>
                <w:rFonts w:cs="Arial"/>
                <w:color w:val="auto"/>
                <w:lang w:eastAsia="en-US"/>
              </w:rPr>
              <w:t>who</w:t>
            </w:r>
            <w:r w:rsidR="0053414B" w:rsidRPr="00E27862">
              <w:rPr>
                <w:rFonts w:cs="Arial"/>
                <w:color w:val="auto"/>
                <w:lang w:eastAsia="en-US"/>
              </w:rPr>
              <w:t xml:space="preserve"> are disadvantaged) currently require additional support with social and emotional needs, with </w:t>
            </w:r>
            <w:r w:rsidR="00E06B19">
              <w:rPr>
                <w:rFonts w:cs="Arial"/>
                <w:color w:val="auto"/>
                <w:lang w:eastAsia="en-US"/>
              </w:rPr>
              <w:t>6</w:t>
            </w:r>
            <w:r w:rsidR="0053414B" w:rsidRPr="00E27862">
              <w:rPr>
                <w:rFonts w:cs="Arial"/>
                <w:color w:val="auto"/>
                <w:lang w:eastAsia="en-US"/>
              </w:rPr>
              <w:t xml:space="preserve"> (</w:t>
            </w:r>
            <w:r w:rsidR="00E06B19">
              <w:rPr>
                <w:rFonts w:cs="Arial"/>
                <w:color w:val="auto"/>
                <w:lang w:eastAsia="en-US"/>
              </w:rPr>
              <w:t xml:space="preserve">3 </w:t>
            </w:r>
            <w:r w:rsidR="0053414B" w:rsidRPr="00E27862">
              <w:rPr>
                <w:rFonts w:cs="Arial"/>
                <w:color w:val="auto"/>
                <w:lang w:eastAsia="en-US"/>
              </w:rPr>
              <w:t xml:space="preserve">of whom are disadvantaged) receiving </w:t>
            </w:r>
            <w:r w:rsidR="00E06B19">
              <w:rPr>
                <w:rFonts w:cs="Arial"/>
                <w:color w:val="auto"/>
                <w:lang w:eastAsia="en-US"/>
              </w:rPr>
              <w:t>individual</w:t>
            </w:r>
            <w:r w:rsidR="0053414B" w:rsidRPr="00E27862">
              <w:rPr>
                <w:rFonts w:cs="Arial"/>
                <w:color w:val="auto"/>
                <w:lang w:eastAsia="en-US"/>
              </w:rPr>
              <w:t xml:space="preserve"> interventions.</w:t>
            </w:r>
          </w:p>
        </w:tc>
      </w:tr>
      <w:tr w:rsidR="00B9777D"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391C1B8B" w:rsidR="00B9777D" w:rsidRDefault="00EC65C1" w:rsidP="00B9777D">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A690C97" w:rsidR="00B9777D" w:rsidRDefault="00E42DB3" w:rsidP="00B9777D">
            <w:pPr>
              <w:pStyle w:val="TableRowCentered"/>
              <w:jc w:val="left"/>
              <w:rPr>
                <w:iCs/>
                <w:sz w:val="22"/>
              </w:rPr>
            </w:pPr>
            <w:r>
              <w:rPr>
                <w:iCs/>
                <w:sz w:val="22"/>
              </w:rPr>
              <w:t>Attendance data for the last year ranged between 93-97%. Non</w:t>
            </w:r>
            <w:r w:rsidR="001A0BEA">
              <w:rPr>
                <w:iCs/>
                <w:sz w:val="22"/>
              </w:rPr>
              <w:t>-</w:t>
            </w:r>
            <w:r>
              <w:rPr>
                <w:iCs/>
                <w:sz w:val="22"/>
              </w:rPr>
              <w:t>attendance is higher amongs</w:t>
            </w:r>
            <w:r w:rsidR="00E77474">
              <w:rPr>
                <w:iCs/>
                <w:sz w:val="22"/>
              </w:rPr>
              <w:t>t</w:t>
            </w:r>
            <w:r>
              <w:rPr>
                <w:iCs/>
                <w:sz w:val="22"/>
              </w:rPr>
              <w:t xml:space="preserve"> disadvantaged pupils</w:t>
            </w:r>
            <w:r w:rsidR="00E77474">
              <w:rPr>
                <w:iCs/>
                <w:sz w:val="22"/>
              </w:rPr>
              <w:t xml:space="preserve"> with more incidents of broken weeks than non-disadvantaged pupils.</w:t>
            </w:r>
          </w:p>
        </w:tc>
      </w:tr>
    </w:tbl>
    <w:p w14:paraId="02B8DC24" w14:textId="77777777" w:rsidR="00E77474" w:rsidRDefault="00E77474">
      <w:pPr>
        <w:pStyle w:val="Heading2"/>
        <w:spacing w:before="600"/>
      </w:pPr>
      <w:bookmarkStart w:id="16" w:name="_Toc443397160"/>
    </w:p>
    <w:p w14:paraId="0D197610" w14:textId="77777777" w:rsidR="001A0BEA" w:rsidRDefault="001A0BEA" w:rsidP="001A0BEA"/>
    <w:p w14:paraId="4B96ACDE" w14:textId="77777777" w:rsidR="001A0BEA" w:rsidRDefault="001A0BEA" w:rsidP="001A0BEA"/>
    <w:p w14:paraId="3C055172" w14:textId="77777777" w:rsidR="001A0BEA" w:rsidRDefault="001A0BEA" w:rsidP="001A0BEA"/>
    <w:p w14:paraId="63CE6B3F" w14:textId="77777777" w:rsidR="001A0BEA" w:rsidRDefault="001A0BEA" w:rsidP="001A0BEA"/>
    <w:p w14:paraId="2A7D54FF" w14:textId="3312658C" w:rsidR="00E66558" w:rsidRPr="001A0BEA" w:rsidRDefault="009D71E8" w:rsidP="001A0BEA">
      <w:pPr>
        <w:rPr>
          <w:b/>
          <w:bCs/>
          <w:color w:val="632423" w:themeColor="accent2" w:themeShade="80"/>
          <w:sz w:val="32"/>
          <w:szCs w:val="32"/>
        </w:rPr>
      </w:pPr>
      <w:r w:rsidRPr="001A0BEA">
        <w:rPr>
          <w:b/>
          <w:bCs/>
          <w:color w:val="632423" w:themeColor="accent2" w:themeShade="80"/>
          <w:sz w:val="32"/>
          <w:szCs w:val="32"/>
        </w:rP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1450BD1" w:rsidR="00E66558" w:rsidRDefault="004F459E" w:rsidP="00E77474">
            <w:r>
              <w:t>Improved</w:t>
            </w:r>
            <w:r w:rsidR="00EC65C1">
              <w:t xml:space="preserve"> </w:t>
            </w:r>
            <w:r w:rsidR="00C56E59">
              <w:t>reading</w:t>
            </w:r>
            <w:r>
              <w:t xml:space="preserve"> </w:t>
            </w:r>
            <w:r w:rsidR="00EC65C1">
              <w:t>fluency</w:t>
            </w:r>
            <w:r>
              <w:t xml:space="preserve"> and attainment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2EFA2" w14:textId="7878A98D" w:rsidR="005560B0" w:rsidRDefault="005560B0">
            <w:pPr>
              <w:pStyle w:val="TableRowCentered"/>
              <w:jc w:val="left"/>
              <w:rPr>
                <w:rFonts w:cs="Arial"/>
              </w:rPr>
            </w:pPr>
            <w:r>
              <w:rPr>
                <w:rFonts w:cs="Arial"/>
              </w:rPr>
              <w:t>All forms of assessments and observations will indicate significantly improved skills in phonics application</w:t>
            </w:r>
            <w:r w:rsidR="00EC65C1">
              <w:rPr>
                <w:rFonts w:cs="Arial"/>
              </w:rPr>
              <w:t>, reading fluency</w:t>
            </w:r>
            <w:r>
              <w:rPr>
                <w:rFonts w:cs="Arial"/>
              </w:rPr>
              <w:t xml:space="preserve"> and understanding among disadvantaged pupils.</w:t>
            </w:r>
          </w:p>
          <w:p w14:paraId="2A7D5505" w14:textId="20C37251" w:rsidR="00E66558" w:rsidRDefault="005560B0">
            <w:pPr>
              <w:pStyle w:val="TableRowCentered"/>
              <w:jc w:val="left"/>
              <w:rPr>
                <w:sz w:val="22"/>
                <w:szCs w:val="22"/>
              </w:rPr>
            </w:pPr>
            <w:r>
              <w:rPr>
                <w:sz w:val="22"/>
                <w:szCs w:val="22"/>
              </w:rPr>
              <w:t xml:space="preserve">More pupils from disadvantaged groups will achieve national </w:t>
            </w:r>
            <w:r w:rsidR="00EC65C1">
              <w:rPr>
                <w:sz w:val="22"/>
                <w:szCs w:val="22"/>
              </w:rPr>
              <w:t>outcomes in reading in Y6</w:t>
            </w:r>
            <w:r w:rsidR="00251DBA">
              <w:rPr>
                <w:sz w:val="22"/>
                <w:szCs w:val="22"/>
              </w:rPr>
              <w:t xml:space="preserve"> statutory assessment.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D6064FB" w:rsidR="00E66558" w:rsidRDefault="004F459E">
            <w:pPr>
              <w:pStyle w:val="TableRow"/>
              <w:rPr>
                <w:sz w:val="22"/>
                <w:szCs w:val="22"/>
              </w:rPr>
            </w:pPr>
            <w:r>
              <w:rPr>
                <w:sz w:val="22"/>
                <w:szCs w:val="22"/>
              </w:rPr>
              <w:t>Improved vocabulary and oral language skills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56B3DB02" w:rsidR="00E66558" w:rsidRDefault="00251DBA">
            <w:pPr>
              <w:pStyle w:val="TableRowCentered"/>
              <w:jc w:val="left"/>
              <w:rPr>
                <w:sz w:val="22"/>
                <w:szCs w:val="22"/>
              </w:rPr>
            </w:pPr>
            <w:r>
              <w:rPr>
                <w:sz w:val="22"/>
                <w:szCs w:val="22"/>
              </w:rPr>
              <w:t>All forms of assessment and observation will evidence significant improvement in the application and use of a broader vocabulary among disadvantaged pupils.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CE337C5" w:rsidR="00E66558" w:rsidRDefault="004F459E">
            <w:pPr>
              <w:pStyle w:val="TableRow"/>
              <w:rPr>
                <w:sz w:val="22"/>
                <w:szCs w:val="22"/>
              </w:rPr>
            </w:pPr>
            <w:r>
              <w:rPr>
                <w:sz w:val="22"/>
                <w:szCs w:val="22"/>
              </w:rPr>
              <w:t>Improved reading attainment and comprehension skills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3E7E1E8" w:rsidR="00E66558" w:rsidRDefault="00251DBA">
            <w:pPr>
              <w:pStyle w:val="TableRowCentered"/>
              <w:jc w:val="left"/>
              <w:rPr>
                <w:sz w:val="22"/>
                <w:szCs w:val="22"/>
              </w:rPr>
            </w:pPr>
            <w:r>
              <w:rPr>
                <w:sz w:val="22"/>
                <w:szCs w:val="22"/>
              </w:rPr>
              <w:t xml:space="preserve">By </w:t>
            </w:r>
            <w:r w:rsidR="00452A9F">
              <w:rPr>
                <w:sz w:val="22"/>
                <w:szCs w:val="22"/>
              </w:rPr>
              <w:t>2028</w:t>
            </w:r>
            <w:r>
              <w:rPr>
                <w:sz w:val="22"/>
                <w:szCs w:val="22"/>
              </w:rPr>
              <w:t xml:space="preserve"> KS2 reading outcomes will show that</w:t>
            </w:r>
            <w:r w:rsidR="00145B4F">
              <w:rPr>
                <w:sz w:val="22"/>
                <w:szCs w:val="22"/>
              </w:rPr>
              <w:t xml:space="preserve"> more than</w:t>
            </w:r>
            <w:r>
              <w:rPr>
                <w:sz w:val="22"/>
                <w:szCs w:val="22"/>
              </w:rPr>
              <w:t xml:space="preserve"> 70% of disadvantaged pupils will meet the expected standard.</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7ECD4BA" w:rsidR="00E66558" w:rsidRDefault="004F459E">
            <w:pPr>
              <w:pStyle w:val="TableRow"/>
              <w:rPr>
                <w:sz w:val="22"/>
                <w:szCs w:val="22"/>
              </w:rPr>
            </w:pPr>
            <w:r>
              <w:rPr>
                <w:sz w:val="22"/>
                <w:szCs w:val="22"/>
              </w:rPr>
              <w:t>Improved maths attainment across all year groups culminating at the end of key stage 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2DFDF9A0" w:rsidR="00E66558" w:rsidRDefault="00145B4F">
            <w:pPr>
              <w:pStyle w:val="TableRowCentered"/>
              <w:jc w:val="left"/>
              <w:rPr>
                <w:sz w:val="22"/>
                <w:szCs w:val="22"/>
              </w:rPr>
            </w:pPr>
            <w:r>
              <w:rPr>
                <w:sz w:val="22"/>
                <w:szCs w:val="22"/>
              </w:rPr>
              <w:t>By 2</w:t>
            </w:r>
            <w:r w:rsidR="00452A9F">
              <w:rPr>
                <w:sz w:val="22"/>
                <w:szCs w:val="22"/>
              </w:rPr>
              <w:t>028</w:t>
            </w:r>
            <w:r>
              <w:rPr>
                <w:sz w:val="22"/>
                <w:szCs w:val="22"/>
              </w:rPr>
              <w:t xml:space="preserve"> KS2 </w:t>
            </w:r>
            <w:r w:rsidR="00276EE4">
              <w:rPr>
                <w:sz w:val="22"/>
                <w:szCs w:val="22"/>
              </w:rPr>
              <w:t>Maths</w:t>
            </w:r>
            <w:r>
              <w:rPr>
                <w:sz w:val="22"/>
                <w:szCs w:val="22"/>
              </w:rPr>
              <w:t xml:space="preserve"> outcomes will show that more than 70% of disadvantaged pupils will meet the expected standard.</w:t>
            </w:r>
          </w:p>
        </w:tc>
      </w:tr>
      <w:tr w:rsidR="004F459E" w14:paraId="23948EE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1AD54" w14:textId="655D3B51" w:rsidR="004F459E" w:rsidRDefault="004F459E">
            <w:pPr>
              <w:pStyle w:val="TableRow"/>
              <w:rPr>
                <w:sz w:val="22"/>
                <w:szCs w:val="22"/>
              </w:rPr>
            </w:pPr>
            <w:r>
              <w:rPr>
                <w:sz w:val="22"/>
                <w:szCs w:val="22"/>
              </w:rPr>
              <w:t xml:space="preserve">To </w:t>
            </w:r>
            <w:r w:rsidR="005560B0">
              <w:rPr>
                <w:sz w:val="22"/>
                <w:szCs w:val="22"/>
              </w:rPr>
              <w:t>sustain</w:t>
            </w:r>
            <w:r>
              <w:rPr>
                <w:sz w:val="22"/>
                <w:szCs w:val="22"/>
              </w:rPr>
              <w:t xml:space="preserve"> the wellbeing of all our pupils, with particular focus on </w:t>
            </w:r>
            <w:r w:rsidR="005560B0">
              <w:rPr>
                <w:sz w:val="22"/>
                <w:szCs w:val="22"/>
              </w:rPr>
              <w:t>disadvantaged</w:t>
            </w:r>
            <w:r>
              <w:rPr>
                <w:sz w:val="22"/>
                <w:szCs w:val="22"/>
              </w:rPr>
              <w:t xml:space="preserve"> pup</w:t>
            </w:r>
            <w:r w:rsidR="005560B0">
              <w:rPr>
                <w:sz w:val="22"/>
                <w:szCs w:val="22"/>
              </w:rPr>
              <w:t>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B767D" w14:textId="10E32B11" w:rsidR="004F459E" w:rsidRDefault="00145B4F">
            <w:pPr>
              <w:pStyle w:val="TableRowCentered"/>
              <w:jc w:val="left"/>
              <w:rPr>
                <w:sz w:val="22"/>
                <w:szCs w:val="22"/>
              </w:rPr>
            </w:pPr>
            <w:r>
              <w:rPr>
                <w:sz w:val="22"/>
                <w:szCs w:val="22"/>
              </w:rPr>
              <w:t>There will be sustained high levels of wellbeing demonstrated by</w:t>
            </w:r>
          </w:p>
          <w:p w14:paraId="4D5C8A2C" w14:textId="77777777" w:rsidR="00145B4F" w:rsidRDefault="00145B4F" w:rsidP="00145B4F">
            <w:pPr>
              <w:pStyle w:val="TableRowCentered"/>
              <w:numPr>
                <w:ilvl w:val="0"/>
                <w:numId w:val="15"/>
              </w:numPr>
              <w:jc w:val="left"/>
              <w:rPr>
                <w:sz w:val="22"/>
                <w:szCs w:val="22"/>
              </w:rPr>
            </w:pPr>
            <w:r>
              <w:rPr>
                <w:sz w:val="22"/>
                <w:szCs w:val="22"/>
              </w:rPr>
              <w:t>qualitative date acquired by pupil voice, surveys from parents and pupils and teacher observations</w:t>
            </w:r>
          </w:p>
          <w:p w14:paraId="3A532A8F" w14:textId="0BED3386" w:rsidR="00D643C5" w:rsidRPr="00D643C5" w:rsidRDefault="00145B4F" w:rsidP="00D643C5">
            <w:pPr>
              <w:pStyle w:val="TableRowCentered"/>
              <w:numPr>
                <w:ilvl w:val="0"/>
                <w:numId w:val="15"/>
              </w:numPr>
              <w:jc w:val="left"/>
              <w:rPr>
                <w:sz w:val="22"/>
                <w:szCs w:val="22"/>
              </w:rPr>
            </w:pPr>
            <w:r>
              <w:rPr>
                <w:sz w:val="22"/>
                <w:szCs w:val="22"/>
              </w:rPr>
              <w:t xml:space="preserve">an increase in uptake for after school </w:t>
            </w:r>
            <w:r w:rsidR="00D643C5">
              <w:rPr>
                <w:sz w:val="22"/>
                <w:szCs w:val="22"/>
              </w:rPr>
              <w:t xml:space="preserve">enrichment </w:t>
            </w:r>
            <w:r>
              <w:rPr>
                <w:sz w:val="22"/>
                <w:szCs w:val="22"/>
              </w:rPr>
              <w:t xml:space="preserve">activities </w:t>
            </w:r>
            <w:r w:rsidR="00D643C5">
              <w:rPr>
                <w:sz w:val="22"/>
                <w:szCs w:val="22"/>
              </w:rPr>
              <w:t>among disadvantaged pupils</w:t>
            </w:r>
          </w:p>
        </w:tc>
      </w:tr>
    </w:tbl>
    <w:p w14:paraId="60BAD9F6" w14:textId="77777777" w:rsidR="00120AB1" w:rsidRDefault="00120AB1">
      <w:pPr>
        <w:pStyle w:val="Heading2"/>
      </w:pPr>
    </w:p>
    <w:p w14:paraId="2A7D5512" w14:textId="55638FFD" w:rsidR="00E66558" w:rsidRDefault="00120AB1" w:rsidP="00E00871">
      <w:pPr>
        <w:suppressAutoHyphens w:val="0"/>
        <w:spacing w:after="0" w:line="240" w:lineRule="auto"/>
        <w:rPr>
          <w:b/>
          <w:bCs/>
          <w:color w:val="365F91" w:themeColor="accent1" w:themeShade="BF"/>
          <w:sz w:val="28"/>
          <w:szCs w:val="28"/>
        </w:rPr>
      </w:pPr>
      <w:r>
        <w:br w:type="page"/>
      </w:r>
      <w:r w:rsidR="009D71E8" w:rsidRPr="001A0BEA">
        <w:rPr>
          <w:b/>
          <w:bCs/>
          <w:color w:val="632423" w:themeColor="accent2" w:themeShade="80"/>
          <w:sz w:val="28"/>
          <w:szCs w:val="28"/>
        </w:rPr>
        <w:lastRenderedPageBreak/>
        <w:t>Activity in this academic year</w:t>
      </w:r>
    </w:p>
    <w:p w14:paraId="6797BDA4" w14:textId="77777777" w:rsidR="00E00871" w:rsidRPr="00E00871" w:rsidRDefault="00E00871" w:rsidP="00E00871">
      <w:pPr>
        <w:suppressAutoHyphens w:val="0"/>
        <w:spacing w:after="0" w:line="240" w:lineRule="auto"/>
        <w:rPr>
          <w:b/>
          <w:bCs/>
          <w:color w:val="104F75"/>
          <w:sz w:val="32"/>
          <w:szCs w:val="32"/>
        </w:rPr>
      </w:pP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Pr="001A0BEA" w:rsidRDefault="009D71E8">
      <w:pPr>
        <w:pStyle w:val="Heading3"/>
        <w:rPr>
          <w:color w:val="632423" w:themeColor="accent2" w:themeShade="80"/>
          <w:sz w:val="16"/>
          <w:szCs w:val="16"/>
        </w:rPr>
      </w:pPr>
      <w:r w:rsidRPr="001A0BEA">
        <w:rPr>
          <w:color w:val="632423" w:themeColor="accent2" w:themeShade="80"/>
        </w:rPr>
        <w:t>Teaching</w:t>
      </w:r>
      <w:r>
        <w:t xml:space="preserve"> </w:t>
      </w:r>
      <w:r w:rsidRPr="001A0BEA">
        <w:rPr>
          <w:color w:val="632423" w:themeColor="accent2" w:themeShade="80"/>
          <w:sz w:val="16"/>
          <w:szCs w:val="16"/>
        </w:rPr>
        <w:t>(for example, CPD, recruitment and retention)</w:t>
      </w:r>
    </w:p>
    <w:p w14:paraId="2A7D5515" w14:textId="53D3B4F7" w:rsidR="00E66558" w:rsidRDefault="009D71E8">
      <w:r>
        <w:t xml:space="preserve">Budgeted cost: </w:t>
      </w:r>
      <w:r w:rsidR="00EF6C67">
        <w:t xml:space="preserve">£ </w:t>
      </w:r>
      <w:r w:rsidR="00EC65C1">
        <w:t>5,</w:t>
      </w:r>
      <w:r w:rsidR="00EF6C67">
        <w:t>000</w:t>
      </w:r>
    </w:p>
    <w:tbl>
      <w:tblPr>
        <w:tblW w:w="5000" w:type="pct"/>
        <w:tblCellMar>
          <w:left w:w="10" w:type="dxa"/>
          <w:right w:w="10" w:type="dxa"/>
        </w:tblCellMar>
        <w:tblLook w:val="04A0" w:firstRow="1" w:lastRow="0" w:firstColumn="1" w:lastColumn="0" w:noHBand="0" w:noVBand="1"/>
      </w:tblPr>
      <w:tblGrid>
        <w:gridCol w:w="2680"/>
        <w:gridCol w:w="4269"/>
        <w:gridCol w:w="2537"/>
      </w:tblGrid>
      <w:tr w:rsidR="00E66558" w14:paraId="2A7D5519" w14:textId="77777777" w:rsidTr="00C71B06">
        <w:tc>
          <w:tcPr>
            <w:tcW w:w="26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C71B06">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BF592" w14:textId="77777777" w:rsidR="00E66558" w:rsidRDefault="00452A9F">
            <w:pPr>
              <w:pStyle w:val="TableRow"/>
            </w:pPr>
            <w:r>
              <w:t>Training for all staff for White Rose Hub Maths and mastery teaching</w:t>
            </w:r>
          </w:p>
          <w:p w14:paraId="00C7BBD5" w14:textId="77777777" w:rsidR="00EC65C1" w:rsidRDefault="00EC65C1">
            <w:pPr>
              <w:pStyle w:val="TableRow"/>
            </w:pPr>
          </w:p>
          <w:p w14:paraId="2A7D551A" w14:textId="059DD4EF" w:rsidR="00EC65C1" w:rsidRPr="00276EE4" w:rsidRDefault="00EC65C1">
            <w:pPr>
              <w:pStyle w:val="TableRow"/>
            </w:pPr>
            <w:r>
              <w:t>£2,000</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44711" w14:textId="2122508A" w:rsidR="00E66558" w:rsidRPr="00276EE4" w:rsidRDefault="00E00871">
            <w:pPr>
              <w:pStyle w:val="TableRowCentered"/>
              <w:jc w:val="left"/>
            </w:pPr>
            <w:r w:rsidRPr="00276EE4">
              <w:t>This is a</w:t>
            </w:r>
            <w:r w:rsidR="00452A9F">
              <w:t xml:space="preserve"> support package led by the Turing NW maths hub to develop and enable quality maths teaching across all phases,</w:t>
            </w:r>
            <w:r w:rsidRPr="00276EE4">
              <w:t xml:space="preserve"> </w:t>
            </w:r>
            <w:r w:rsidR="00452A9F">
              <w:t xml:space="preserve">with a </w:t>
            </w:r>
            <w:r w:rsidRPr="00276EE4">
              <w:t xml:space="preserve">focus on </w:t>
            </w:r>
            <w:r w:rsidR="00452A9F">
              <w:t>narrowing the attainment gap for deprived pupils</w:t>
            </w:r>
          </w:p>
          <w:p w14:paraId="2A7D551B" w14:textId="62F741A6" w:rsidR="00F74DB5" w:rsidRPr="00276EE4" w:rsidRDefault="00F74DB5">
            <w:pPr>
              <w:pStyle w:val="TableRowCentered"/>
              <w:jc w:val="left"/>
              <w:rPr>
                <w:sz w:val="22"/>
              </w:rPr>
            </w:pPr>
            <w:hyperlink r:id="rId8" w:history="1">
              <w:r w:rsidRPr="00276EE4">
                <w:rPr>
                  <w:color w:val="0070C0"/>
                  <w:szCs w:val="24"/>
                  <w:u w:val="single"/>
                </w:rPr>
                <w:t>Standardised tests | Assessing and Monitoring Pupil Progress | Education Endowment Foundation | EEF</w:t>
              </w:r>
            </w:hyperlink>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A3F32" w14:textId="77777777" w:rsidR="00E66558" w:rsidRDefault="00F4476D">
            <w:pPr>
              <w:pStyle w:val="TableRowCentered"/>
              <w:jc w:val="left"/>
              <w:rPr>
                <w:sz w:val="22"/>
              </w:rPr>
            </w:pPr>
            <w:r w:rsidRPr="00276EE4">
              <w:rPr>
                <w:sz w:val="22"/>
              </w:rPr>
              <w:t>1,2,3,4</w:t>
            </w:r>
          </w:p>
          <w:p w14:paraId="20A059CB" w14:textId="77777777" w:rsidR="00EC65C1" w:rsidRDefault="00EC65C1">
            <w:pPr>
              <w:pStyle w:val="TableRowCentered"/>
              <w:jc w:val="left"/>
              <w:rPr>
                <w:sz w:val="22"/>
              </w:rPr>
            </w:pPr>
          </w:p>
          <w:p w14:paraId="2A7D551C" w14:textId="7875FAD2" w:rsidR="00EC65C1" w:rsidRPr="00276EE4" w:rsidRDefault="00EC65C1">
            <w:pPr>
              <w:pStyle w:val="TableRowCentered"/>
              <w:jc w:val="left"/>
              <w:rPr>
                <w:sz w:val="22"/>
              </w:rPr>
            </w:pPr>
          </w:p>
        </w:tc>
      </w:tr>
      <w:tr w:rsidR="00E66558" w14:paraId="2A7D5521" w14:textId="77777777" w:rsidTr="00C71B06">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54B7" w14:textId="77777777" w:rsidR="00E66558" w:rsidRDefault="00DC5799">
            <w:pPr>
              <w:pStyle w:val="TableRow"/>
            </w:pPr>
            <w:r w:rsidRPr="00276EE4">
              <w:t xml:space="preserve">Training and purchase of a new </w:t>
            </w:r>
            <w:r w:rsidR="00452A9F">
              <w:t>reading comprehension scheme</w:t>
            </w:r>
            <w:r w:rsidR="00C56E59">
              <w:t xml:space="preserve"> for KS2</w:t>
            </w:r>
          </w:p>
          <w:p w14:paraId="4FBFB257" w14:textId="77777777" w:rsidR="00EC65C1" w:rsidRDefault="00EC65C1">
            <w:pPr>
              <w:pStyle w:val="TableRow"/>
            </w:pPr>
          </w:p>
          <w:p w14:paraId="2A7D551E" w14:textId="482EE2FA" w:rsidR="00EC65C1" w:rsidRPr="00276EE4" w:rsidRDefault="00EC65C1">
            <w:pPr>
              <w:pStyle w:val="TableRow"/>
              <w:rPr>
                <w:i/>
                <w:sz w:val="22"/>
              </w:rPr>
            </w:pPr>
            <w:r>
              <w:t>£2,000</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5C0BA" w14:textId="1D4E3058" w:rsidR="006D627C" w:rsidRDefault="00276EE4">
            <w:pPr>
              <w:pStyle w:val="TableRowCentered"/>
              <w:jc w:val="left"/>
              <w:rPr>
                <w:sz w:val="22"/>
              </w:rPr>
            </w:pPr>
            <w:r>
              <w:rPr>
                <w:sz w:val="22"/>
              </w:rPr>
              <w:t xml:space="preserve">This is a </w:t>
            </w:r>
            <w:r w:rsidR="003332FA">
              <w:rPr>
                <w:sz w:val="22"/>
              </w:rPr>
              <w:t>programme</w:t>
            </w:r>
            <w:r>
              <w:rPr>
                <w:sz w:val="22"/>
              </w:rPr>
              <w:t xml:space="preserve"> which will provide consistency throughout </w:t>
            </w:r>
            <w:r w:rsidR="00452A9F">
              <w:rPr>
                <w:sz w:val="22"/>
              </w:rPr>
              <w:t>KS2</w:t>
            </w:r>
            <w:r>
              <w:rPr>
                <w:sz w:val="22"/>
              </w:rPr>
              <w:t xml:space="preserve">. Fidelity to a scheme is important to build knowledge and ensure there are no gaps in learning. </w:t>
            </w:r>
            <w:r w:rsidR="003332FA">
              <w:rPr>
                <w:sz w:val="22"/>
              </w:rPr>
              <w:t xml:space="preserve">Due diligence was carried out </w:t>
            </w:r>
            <w:r w:rsidR="00BF0E94">
              <w:rPr>
                <w:sz w:val="22"/>
              </w:rPr>
              <w:t>to</w:t>
            </w:r>
            <w:r w:rsidR="003332FA">
              <w:rPr>
                <w:sz w:val="22"/>
              </w:rPr>
              <w:t xml:space="preserve"> ensure this was a correct fit for our school. This is a </w:t>
            </w:r>
            <w:r w:rsidR="00BF0E94">
              <w:rPr>
                <w:sz w:val="22"/>
              </w:rPr>
              <w:t>research-based</w:t>
            </w:r>
            <w:r w:rsidR="003332FA">
              <w:rPr>
                <w:sz w:val="22"/>
              </w:rPr>
              <w:t xml:space="preserve"> system. </w:t>
            </w:r>
          </w:p>
          <w:p w14:paraId="2A7D551F" w14:textId="43963767" w:rsidR="003332FA" w:rsidRPr="00276EE4" w:rsidRDefault="003332FA">
            <w:pPr>
              <w:pStyle w:val="TableRowCentered"/>
              <w:jc w:val="left"/>
              <w:rPr>
                <w:sz w:val="22"/>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D85EA9A" w:rsidR="00E66558" w:rsidRPr="00276EE4" w:rsidRDefault="00C44D8A">
            <w:pPr>
              <w:pStyle w:val="TableRowCentered"/>
              <w:jc w:val="left"/>
              <w:rPr>
                <w:sz w:val="22"/>
              </w:rPr>
            </w:pPr>
            <w:r w:rsidRPr="00276EE4">
              <w:rPr>
                <w:sz w:val="22"/>
              </w:rPr>
              <w:t>1,2,3,4</w:t>
            </w:r>
          </w:p>
        </w:tc>
      </w:tr>
      <w:tr w:rsidR="00F74DB5" w14:paraId="231D53F3" w14:textId="77777777" w:rsidTr="00C71B06">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F573B" w14:textId="77777777" w:rsidR="00F74DB5" w:rsidRDefault="00452A9F" w:rsidP="00F74DB5">
            <w:pPr>
              <w:pStyle w:val="TableRow"/>
              <w:rPr>
                <w:sz w:val="22"/>
                <w:szCs w:val="22"/>
              </w:rPr>
            </w:pPr>
            <w:r>
              <w:rPr>
                <w:sz w:val="22"/>
                <w:szCs w:val="22"/>
              </w:rPr>
              <w:t xml:space="preserve">Purchase </w:t>
            </w:r>
            <w:r w:rsidR="00C56E59">
              <w:rPr>
                <w:sz w:val="22"/>
                <w:szCs w:val="22"/>
              </w:rPr>
              <w:t xml:space="preserve">of </w:t>
            </w:r>
            <w:r>
              <w:rPr>
                <w:sz w:val="22"/>
                <w:szCs w:val="22"/>
              </w:rPr>
              <w:t xml:space="preserve">a </w:t>
            </w:r>
            <w:r w:rsidR="00C56E59">
              <w:rPr>
                <w:sz w:val="22"/>
                <w:szCs w:val="22"/>
              </w:rPr>
              <w:t xml:space="preserve">mental </w:t>
            </w:r>
            <w:r>
              <w:rPr>
                <w:sz w:val="22"/>
                <w:szCs w:val="22"/>
              </w:rPr>
              <w:t xml:space="preserve">maths scheme </w:t>
            </w:r>
          </w:p>
          <w:p w14:paraId="03692F8F" w14:textId="77777777" w:rsidR="00EC65C1" w:rsidRDefault="00EC65C1" w:rsidP="00F74DB5">
            <w:pPr>
              <w:pStyle w:val="TableRow"/>
              <w:rPr>
                <w:sz w:val="22"/>
                <w:szCs w:val="22"/>
              </w:rPr>
            </w:pPr>
          </w:p>
          <w:p w14:paraId="01BE85FD" w14:textId="528085BE" w:rsidR="00EC65C1" w:rsidRPr="00733F79" w:rsidRDefault="00EC65C1" w:rsidP="00F74DB5">
            <w:pPr>
              <w:pStyle w:val="TableRow"/>
              <w:rPr>
                <w:sz w:val="22"/>
                <w:szCs w:val="22"/>
              </w:rPr>
            </w:pPr>
            <w:r>
              <w:rPr>
                <w:sz w:val="22"/>
                <w:szCs w:val="22"/>
              </w:rPr>
              <w:t>£5,00</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BFB0C" w14:textId="179FEE3D" w:rsidR="00452A9F" w:rsidRDefault="00C56E59" w:rsidP="00F74DB5">
            <w:pPr>
              <w:pStyle w:val="TableRowCentered"/>
              <w:jc w:val="left"/>
            </w:pPr>
            <w:r>
              <w:t>Consolidate the</w:t>
            </w:r>
            <w:r w:rsidR="00452A9F">
              <w:t xml:space="preserve"> </w:t>
            </w:r>
            <w:r>
              <w:t>practise of arithmetic</w:t>
            </w:r>
            <w:r w:rsidR="00452A9F">
              <w:t xml:space="preserve"> throughout school with </w:t>
            </w:r>
            <w:r>
              <w:t xml:space="preserve">protected </w:t>
            </w:r>
            <w:proofErr w:type="gramStart"/>
            <w:r>
              <w:t>time  to</w:t>
            </w:r>
            <w:proofErr w:type="gramEnd"/>
            <w:r>
              <w:t xml:space="preserve"> deliver CGP challenges for the purpose of improving maths skills for all pupils and narrowing the attainment gap.</w:t>
            </w:r>
          </w:p>
          <w:p w14:paraId="3F72BF7A" w14:textId="77777777" w:rsidR="00452A9F" w:rsidRDefault="00452A9F" w:rsidP="00F74DB5">
            <w:pPr>
              <w:pStyle w:val="TableRowCentered"/>
              <w:jc w:val="left"/>
            </w:pPr>
          </w:p>
          <w:p w14:paraId="1FDC4CCC" w14:textId="77777777" w:rsidR="00452A9F" w:rsidRDefault="00452A9F" w:rsidP="00F74DB5">
            <w:pPr>
              <w:pStyle w:val="TableRowCentered"/>
              <w:jc w:val="left"/>
            </w:pPr>
          </w:p>
          <w:p w14:paraId="467FB760" w14:textId="77777777" w:rsidR="00452A9F" w:rsidRDefault="00452A9F" w:rsidP="00F74DB5">
            <w:pPr>
              <w:pStyle w:val="TableRowCentered"/>
              <w:jc w:val="left"/>
            </w:pPr>
          </w:p>
          <w:p w14:paraId="0526F86E" w14:textId="61D8C73D" w:rsidR="00F74DB5" w:rsidRPr="00733F79" w:rsidRDefault="00C56E59" w:rsidP="00F74DB5">
            <w:pPr>
              <w:pStyle w:val="TableRowCentered"/>
              <w:jc w:val="left"/>
              <w:rPr>
                <w:sz w:val="22"/>
                <w:szCs w:val="22"/>
              </w:rPr>
            </w:pPr>
            <w:hyperlink r:id="rId9" w:history="1">
              <w:r w:rsidRPr="00C56E59">
                <w:rPr>
                  <w:rStyle w:val="Hyperlink"/>
                  <w:sz w:val="22"/>
                  <w:szCs w:val="22"/>
                </w:rPr>
                <w:t>EEF publishes guidance to help teachers boost primary and… | EEF</w:t>
              </w:r>
            </w:hyperlink>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5A4B7" w14:textId="665E886F" w:rsidR="00F74DB5" w:rsidRDefault="000D5B8A" w:rsidP="00F74DB5">
            <w:pPr>
              <w:pStyle w:val="TableRowCentered"/>
              <w:jc w:val="left"/>
              <w:rPr>
                <w:sz w:val="22"/>
              </w:rPr>
            </w:pPr>
            <w:r w:rsidRPr="00733F79">
              <w:rPr>
                <w:sz w:val="22"/>
              </w:rPr>
              <w:t>1</w:t>
            </w:r>
            <w:r w:rsidR="00EC65C1">
              <w:rPr>
                <w:sz w:val="22"/>
              </w:rPr>
              <w:t>,2,3,4</w:t>
            </w:r>
          </w:p>
          <w:p w14:paraId="36A2F32B" w14:textId="77777777" w:rsidR="00F44CBF" w:rsidRDefault="00F44CBF" w:rsidP="00F74DB5">
            <w:pPr>
              <w:pStyle w:val="TableRowCentered"/>
              <w:jc w:val="left"/>
              <w:rPr>
                <w:sz w:val="22"/>
              </w:rPr>
            </w:pPr>
          </w:p>
          <w:p w14:paraId="4DF6B1E9" w14:textId="77777777" w:rsidR="00F44CBF" w:rsidRDefault="00F44CBF" w:rsidP="00F74DB5">
            <w:pPr>
              <w:pStyle w:val="TableRowCentered"/>
              <w:jc w:val="left"/>
              <w:rPr>
                <w:sz w:val="22"/>
              </w:rPr>
            </w:pPr>
          </w:p>
          <w:p w14:paraId="79936C58" w14:textId="77777777" w:rsidR="00F44CBF" w:rsidRDefault="00F44CBF" w:rsidP="00F74DB5">
            <w:pPr>
              <w:pStyle w:val="TableRowCentered"/>
              <w:jc w:val="left"/>
              <w:rPr>
                <w:sz w:val="22"/>
              </w:rPr>
            </w:pPr>
          </w:p>
          <w:p w14:paraId="356C4EBB" w14:textId="77777777" w:rsidR="00F44CBF" w:rsidRDefault="00F44CBF" w:rsidP="00F74DB5">
            <w:pPr>
              <w:pStyle w:val="TableRowCentered"/>
              <w:jc w:val="left"/>
              <w:rPr>
                <w:sz w:val="22"/>
              </w:rPr>
            </w:pPr>
          </w:p>
          <w:p w14:paraId="2260EE41" w14:textId="77777777" w:rsidR="00F44CBF" w:rsidRDefault="00F44CBF" w:rsidP="00F74DB5">
            <w:pPr>
              <w:pStyle w:val="TableRowCentered"/>
              <w:jc w:val="left"/>
              <w:rPr>
                <w:sz w:val="22"/>
              </w:rPr>
            </w:pPr>
          </w:p>
          <w:p w14:paraId="43154C4F" w14:textId="0248BB4F" w:rsidR="00F44CBF" w:rsidRPr="00733F79" w:rsidRDefault="00F44CBF" w:rsidP="00F74DB5">
            <w:pPr>
              <w:pStyle w:val="TableRowCentered"/>
              <w:jc w:val="left"/>
              <w:rPr>
                <w:sz w:val="22"/>
              </w:rPr>
            </w:pPr>
          </w:p>
        </w:tc>
      </w:tr>
      <w:tr w:rsidR="00276EE4" w14:paraId="155A1C09" w14:textId="77777777" w:rsidTr="00C71B06">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626F4" w14:textId="77777777" w:rsidR="00276EE4" w:rsidRDefault="00C56E59" w:rsidP="00F74DB5">
            <w:pPr>
              <w:pStyle w:val="TableRow"/>
              <w:rPr>
                <w:rFonts w:cs="Arial"/>
                <w:iCs/>
                <w:color w:val="auto"/>
                <w:sz w:val="22"/>
                <w:szCs w:val="22"/>
              </w:rPr>
            </w:pPr>
            <w:r>
              <w:rPr>
                <w:rFonts w:cs="Arial"/>
                <w:iCs/>
                <w:color w:val="auto"/>
                <w:sz w:val="22"/>
                <w:szCs w:val="22"/>
              </w:rPr>
              <w:t>Implementation</w:t>
            </w:r>
            <w:r w:rsidR="0008258F">
              <w:rPr>
                <w:rFonts w:cs="Arial"/>
                <w:iCs/>
                <w:color w:val="auto"/>
                <w:sz w:val="22"/>
                <w:szCs w:val="22"/>
              </w:rPr>
              <w:t xml:space="preserve"> </w:t>
            </w:r>
            <w:r>
              <w:rPr>
                <w:rFonts w:cs="Arial"/>
                <w:iCs/>
                <w:color w:val="auto"/>
                <w:sz w:val="22"/>
                <w:szCs w:val="22"/>
              </w:rPr>
              <w:t xml:space="preserve">of DFE Reading Fluency Trial ‘Better Reading intervention’ </w:t>
            </w:r>
            <w:r w:rsidR="0008258F">
              <w:rPr>
                <w:rFonts w:cs="Arial"/>
                <w:iCs/>
                <w:color w:val="auto"/>
                <w:sz w:val="22"/>
                <w:szCs w:val="22"/>
              </w:rPr>
              <w:t xml:space="preserve"> </w:t>
            </w:r>
          </w:p>
          <w:p w14:paraId="47308C88" w14:textId="4C943E70" w:rsidR="00EC65C1" w:rsidRDefault="00EC65C1" w:rsidP="00F74DB5">
            <w:pPr>
              <w:pStyle w:val="TableRow"/>
              <w:rPr>
                <w:rFonts w:cs="Arial"/>
                <w:iCs/>
                <w:color w:val="auto"/>
                <w:sz w:val="22"/>
                <w:szCs w:val="22"/>
              </w:rPr>
            </w:pPr>
            <w:r>
              <w:rPr>
                <w:rFonts w:cs="Arial"/>
                <w:iCs/>
                <w:color w:val="auto"/>
                <w:sz w:val="22"/>
                <w:szCs w:val="22"/>
              </w:rPr>
              <w:t>£500</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5BAAD" w14:textId="2DA8751E" w:rsidR="00276EE4" w:rsidRPr="0008258F" w:rsidRDefault="00C56E59" w:rsidP="00F74DB5">
            <w:pPr>
              <w:pStyle w:val="TableRowCentered"/>
              <w:jc w:val="left"/>
              <w:rPr>
                <w:color w:val="auto"/>
                <w:sz w:val="20"/>
                <w:szCs w:val="16"/>
              </w:rPr>
            </w:pPr>
            <w:r>
              <w:rPr>
                <w:color w:val="auto"/>
                <w:sz w:val="20"/>
                <w:szCs w:val="16"/>
              </w:rPr>
              <w:t xml:space="preserve">Engagement with the DFE on a bespoke reading approach to reading scheme </w:t>
            </w:r>
            <w:r w:rsidR="0008258F" w:rsidRPr="0008258F">
              <w:rPr>
                <w:color w:val="auto"/>
                <w:sz w:val="20"/>
                <w:szCs w:val="16"/>
              </w:rPr>
              <w:t xml:space="preserve">Working with the Literacy Hub </w:t>
            </w:r>
            <w:r w:rsidR="00C71B06">
              <w:rPr>
                <w:color w:val="auto"/>
                <w:sz w:val="20"/>
                <w:szCs w:val="16"/>
              </w:rPr>
              <w:t xml:space="preserve">(Lacey Green) </w:t>
            </w:r>
            <w:r w:rsidR="0008258F" w:rsidRPr="0008258F">
              <w:rPr>
                <w:color w:val="auto"/>
                <w:sz w:val="20"/>
                <w:szCs w:val="16"/>
              </w:rPr>
              <w:t>provides opportunity to develop reading in the school which is bespoke to our setting</w:t>
            </w:r>
            <w:r w:rsidR="0008258F">
              <w:rPr>
                <w:color w:val="auto"/>
                <w:sz w:val="20"/>
                <w:szCs w:val="16"/>
              </w:rPr>
              <w:t xml:space="preserve"> and supports the transition to high school.</w:t>
            </w:r>
            <w:r w:rsidR="0008258F" w:rsidRPr="0008258F">
              <w:rPr>
                <w:color w:val="auto"/>
                <w:sz w:val="20"/>
                <w:szCs w:val="16"/>
              </w:rPr>
              <w:t xml:space="preserve"> </w:t>
            </w:r>
          </w:p>
          <w:p w14:paraId="2C8C05A3" w14:textId="15EA009B" w:rsidR="0008258F" w:rsidRPr="0008258F" w:rsidRDefault="00C56E59" w:rsidP="00F74DB5">
            <w:pPr>
              <w:pStyle w:val="TableRowCentered"/>
              <w:jc w:val="left"/>
              <w:rPr>
                <w:color w:val="auto"/>
                <w:sz w:val="20"/>
                <w:szCs w:val="16"/>
              </w:rPr>
            </w:pPr>
            <w:hyperlink r:id="rId10" w:history="1">
              <w:r w:rsidRPr="00C56E59">
                <w:rPr>
                  <w:rStyle w:val="Hyperlink"/>
                  <w:sz w:val="20"/>
                  <w:szCs w:val="16"/>
                </w:rPr>
                <w:t>KS2 Reading Fluency Project - trial | EEF</w:t>
              </w:r>
            </w:hyperlink>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11BF4" w14:textId="38AADD97" w:rsidR="00276EE4" w:rsidRPr="00733F79" w:rsidRDefault="00C71B06" w:rsidP="00F74DB5">
            <w:pPr>
              <w:pStyle w:val="TableRowCentered"/>
              <w:jc w:val="left"/>
              <w:rPr>
                <w:sz w:val="22"/>
              </w:rPr>
            </w:pPr>
            <w:r>
              <w:rPr>
                <w:sz w:val="22"/>
              </w:rPr>
              <w:lastRenderedPageBreak/>
              <w:t>1</w:t>
            </w:r>
            <w:r w:rsidR="00EC65C1">
              <w:rPr>
                <w:sz w:val="22"/>
              </w:rPr>
              <w:t>,2,3,4,</w:t>
            </w:r>
          </w:p>
        </w:tc>
      </w:tr>
    </w:tbl>
    <w:p w14:paraId="6001E7AC" w14:textId="77777777" w:rsidR="00BF0E94" w:rsidRDefault="00BF0E94">
      <w:pPr>
        <w:rPr>
          <w:b/>
          <w:bCs/>
          <w:color w:val="632423" w:themeColor="accent2" w:themeShade="80"/>
          <w:sz w:val="28"/>
          <w:szCs w:val="28"/>
        </w:rPr>
      </w:pPr>
    </w:p>
    <w:p w14:paraId="59C1D498" w14:textId="77777777" w:rsidR="00BF0E94" w:rsidRDefault="00BF0E94">
      <w:pPr>
        <w:rPr>
          <w:b/>
          <w:bCs/>
          <w:color w:val="632423" w:themeColor="accent2" w:themeShade="80"/>
          <w:sz w:val="28"/>
          <w:szCs w:val="28"/>
        </w:rPr>
      </w:pPr>
    </w:p>
    <w:p w14:paraId="2A7D5523" w14:textId="4421A4F3" w:rsidR="00E66558" w:rsidRPr="00604D11" w:rsidRDefault="009D71E8">
      <w:pPr>
        <w:rPr>
          <w:b/>
          <w:bCs/>
          <w:color w:val="632423" w:themeColor="accent2" w:themeShade="80"/>
          <w:sz w:val="20"/>
          <w:szCs w:val="20"/>
        </w:rPr>
      </w:pPr>
      <w:r w:rsidRPr="00604D11">
        <w:rPr>
          <w:b/>
          <w:bCs/>
          <w:color w:val="632423" w:themeColor="accent2" w:themeShade="80"/>
          <w:sz w:val="28"/>
          <w:szCs w:val="28"/>
        </w:rPr>
        <w:t xml:space="preserve">Targeted academic support </w:t>
      </w:r>
      <w:r w:rsidRPr="00604D11">
        <w:rPr>
          <w:b/>
          <w:bCs/>
          <w:color w:val="632423" w:themeColor="accent2" w:themeShade="80"/>
          <w:sz w:val="20"/>
          <w:szCs w:val="20"/>
        </w:rPr>
        <w:t xml:space="preserve">(for example, </w:t>
      </w:r>
      <w:r w:rsidR="00D33FE5" w:rsidRPr="00604D11">
        <w:rPr>
          <w:b/>
          <w:bCs/>
          <w:color w:val="632423" w:themeColor="accent2" w:themeShade="80"/>
          <w:sz w:val="20"/>
          <w:szCs w:val="20"/>
        </w:rPr>
        <w:t xml:space="preserve">tutoring, one-to-one support </w:t>
      </w:r>
      <w:r w:rsidRPr="00604D11">
        <w:rPr>
          <w:b/>
          <w:bCs/>
          <w:color w:val="632423" w:themeColor="accent2" w:themeShade="80"/>
          <w:sz w:val="20"/>
          <w:szCs w:val="20"/>
        </w:rPr>
        <w:t xml:space="preserve">structured interventions) </w:t>
      </w:r>
    </w:p>
    <w:p w14:paraId="2A7D5524" w14:textId="0C909071" w:rsidR="00E66558" w:rsidRDefault="009D71E8">
      <w:r>
        <w:t>Budgeted cost: £</w:t>
      </w:r>
      <w:r w:rsidR="00EC65C1">
        <w:t>8</w:t>
      </w:r>
      <w:r w:rsidR="00EF6C67">
        <w:t>00</w:t>
      </w:r>
    </w:p>
    <w:tbl>
      <w:tblPr>
        <w:tblW w:w="5000" w:type="pct"/>
        <w:tblCellMar>
          <w:left w:w="10" w:type="dxa"/>
          <w:right w:w="10" w:type="dxa"/>
        </w:tblCellMar>
        <w:tblLook w:val="04A0" w:firstRow="1" w:lastRow="0" w:firstColumn="1" w:lastColumn="0" w:noHBand="0" w:noVBand="1"/>
      </w:tblPr>
      <w:tblGrid>
        <w:gridCol w:w="2524"/>
        <w:gridCol w:w="4627"/>
        <w:gridCol w:w="2335"/>
      </w:tblGrid>
      <w:tr w:rsidR="00E66558" w14:paraId="2A7D5528" w14:textId="77777777" w:rsidTr="00F67C69">
        <w:tc>
          <w:tcPr>
            <w:tcW w:w="25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3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F67C69">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615B" w14:textId="77777777" w:rsidR="00E66558" w:rsidRDefault="00C90757">
            <w:pPr>
              <w:pStyle w:val="TableRow"/>
            </w:pPr>
            <w:r>
              <w:t xml:space="preserve">Purchase of a programme to improve vocabulary, maths and reading skills for disadvantaged pupils who </w:t>
            </w:r>
            <w:r w:rsidR="006330EC">
              <w:t xml:space="preserve">to narrow </w:t>
            </w:r>
            <w:r w:rsidR="00333DF9">
              <w:t xml:space="preserve">the gap </w:t>
            </w:r>
            <w:r w:rsidR="00DE3F55">
              <w:t>with their peers</w:t>
            </w:r>
          </w:p>
          <w:p w14:paraId="2A7D5529" w14:textId="43197089" w:rsidR="00EC65C1" w:rsidRDefault="00EC65C1">
            <w:pPr>
              <w:pStyle w:val="TableRow"/>
            </w:pP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4D121" w14:textId="438DC824" w:rsidR="00E66558" w:rsidRDefault="00025CBD">
            <w:pPr>
              <w:pStyle w:val="TableRowCentered"/>
              <w:jc w:val="left"/>
              <w:rPr>
                <w:sz w:val="22"/>
              </w:rPr>
            </w:pPr>
            <w:r>
              <w:rPr>
                <w:sz w:val="22"/>
              </w:rPr>
              <w:t>A b</w:t>
            </w:r>
            <w:r w:rsidR="00946E7A">
              <w:rPr>
                <w:sz w:val="22"/>
              </w:rPr>
              <w:t xml:space="preserve">espoke intervention that supports a child from their </w:t>
            </w:r>
            <w:r w:rsidR="00F74DB5">
              <w:rPr>
                <w:sz w:val="22"/>
              </w:rPr>
              <w:t xml:space="preserve">own </w:t>
            </w:r>
            <w:r w:rsidR="00946E7A">
              <w:rPr>
                <w:sz w:val="22"/>
              </w:rPr>
              <w:t>individual staring point</w:t>
            </w:r>
            <w:r w:rsidR="000D5999">
              <w:rPr>
                <w:sz w:val="22"/>
              </w:rPr>
              <w:t xml:space="preserve">, </w:t>
            </w:r>
            <w:r>
              <w:rPr>
                <w:sz w:val="22"/>
              </w:rPr>
              <w:t xml:space="preserve">develops their confidence and </w:t>
            </w:r>
            <w:r w:rsidR="00EC65C1">
              <w:rPr>
                <w:sz w:val="22"/>
              </w:rPr>
              <w:t>self-belief</w:t>
            </w:r>
            <w:r>
              <w:rPr>
                <w:sz w:val="22"/>
              </w:rPr>
              <w:t>, which improves their attainment</w:t>
            </w:r>
            <w:r w:rsidR="00F74DB5">
              <w:rPr>
                <w:sz w:val="22"/>
              </w:rPr>
              <w:t xml:space="preserve"> and progress</w:t>
            </w:r>
          </w:p>
          <w:p w14:paraId="48B6801F" w14:textId="2A24438B" w:rsidR="00F67C69" w:rsidRPr="00604D11" w:rsidRDefault="00F67C69">
            <w:pPr>
              <w:pStyle w:val="TableRowCentered"/>
              <w:jc w:val="left"/>
              <w:rPr>
                <w:color w:val="B8CCE4" w:themeColor="accent1" w:themeTint="66"/>
                <w:sz w:val="22"/>
              </w:rPr>
            </w:pPr>
            <w:hyperlink r:id="rId11" w:history="1">
              <w:r w:rsidRPr="00604D11">
                <w:rPr>
                  <w:rStyle w:val="Hyperlink"/>
                  <w:color w:val="365F91" w:themeColor="accent1" w:themeShade="BF"/>
                </w:rPr>
                <w:t>Small group tuition | EEF (educationendowmentfoundation.org.uk</w:t>
              </w:r>
              <w:r w:rsidRPr="00604D11">
                <w:rPr>
                  <w:rStyle w:val="Hyperlink"/>
                  <w:color w:val="B8CCE4" w:themeColor="accent1" w:themeTint="66"/>
                </w:rPr>
                <w:t>)</w:t>
              </w:r>
            </w:hyperlink>
          </w:p>
          <w:p w14:paraId="2A7D552A" w14:textId="35E41023" w:rsidR="00792011" w:rsidRDefault="00792011">
            <w:pPr>
              <w:pStyle w:val="TableRowCentered"/>
              <w:jc w:val="left"/>
              <w:rPr>
                <w:sz w:val="22"/>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96D1C63" w:rsidR="00E66558" w:rsidRDefault="00F74DB5">
            <w:pPr>
              <w:pStyle w:val="TableRowCentered"/>
              <w:jc w:val="left"/>
              <w:rPr>
                <w:sz w:val="22"/>
              </w:rPr>
            </w:pPr>
            <w:r>
              <w:rPr>
                <w:sz w:val="22"/>
              </w:rPr>
              <w:t>1,2</w:t>
            </w:r>
            <w:r w:rsidR="00EC65C1">
              <w:rPr>
                <w:sz w:val="22"/>
              </w:rPr>
              <w:t>, 3,4,5</w:t>
            </w:r>
          </w:p>
        </w:tc>
      </w:tr>
    </w:tbl>
    <w:p w14:paraId="2A7D5531" w14:textId="77777777" w:rsidR="00E66558" w:rsidRDefault="00E66558">
      <w:pPr>
        <w:spacing w:after="0"/>
        <w:rPr>
          <w:b/>
          <w:color w:val="104F75"/>
          <w:sz w:val="28"/>
          <w:szCs w:val="28"/>
        </w:rPr>
      </w:pPr>
    </w:p>
    <w:p w14:paraId="2A7D5540" w14:textId="77777777" w:rsidR="00E66558" w:rsidRDefault="00E66558">
      <w:pPr>
        <w:spacing w:before="240" w:after="0"/>
        <w:rPr>
          <w:b/>
          <w:bCs/>
          <w:color w:val="104F75"/>
          <w:sz w:val="28"/>
          <w:szCs w:val="28"/>
        </w:rPr>
      </w:pPr>
    </w:p>
    <w:p w14:paraId="2A7D5541" w14:textId="5AB935BD" w:rsidR="00E66558" w:rsidRPr="00604D11" w:rsidRDefault="009D71E8" w:rsidP="00120AB1">
      <w:pPr>
        <w:rPr>
          <w:color w:val="632423" w:themeColor="accent2" w:themeShade="80"/>
        </w:rPr>
      </w:pPr>
      <w:r w:rsidRPr="00604D11">
        <w:rPr>
          <w:b/>
          <w:bCs/>
          <w:color w:val="632423" w:themeColor="accent2" w:themeShade="80"/>
          <w:sz w:val="28"/>
          <w:szCs w:val="28"/>
        </w:rPr>
        <w:t xml:space="preserve">Total budgeted cost: £ </w:t>
      </w:r>
      <w:r w:rsidR="00EC65C1">
        <w:rPr>
          <w:b/>
          <w:bCs/>
          <w:color w:val="632423" w:themeColor="accent2" w:themeShade="80"/>
          <w:sz w:val="28"/>
          <w:szCs w:val="28"/>
        </w:rPr>
        <w:t>5,000</w:t>
      </w:r>
    </w:p>
    <w:p w14:paraId="2A7D5542" w14:textId="77777777" w:rsidR="00E66558" w:rsidRPr="00604D11" w:rsidRDefault="009D71E8">
      <w:pPr>
        <w:pStyle w:val="Heading1"/>
        <w:rPr>
          <w:color w:val="632423" w:themeColor="accent2" w:themeShade="80"/>
        </w:rPr>
      </w:pPr>
      <w:r w:rsidRPr="00604D11">
        <w:rPr>
          <w:color w:val="632423" w:themeColor="accent2" w:themeShade="80"/>
        </w:rPr>
        <w:lastRenderedPageBreak/>
        <w:t>Part B: Review of outcomes in the previous academic year</w:t>
      </w:r>
    </w:p>
    <w:p w14:paraId="2A7D5543" w14:textId="77777777" w:rsidR="00E66558" w:rsidRPr="00604D11" w:rsidRDefault="009D71E8">
      <w:pPr>
        <w:pStyle w:val="Heading2"/>
        <w:rPr>
          <w:color w:val="632423" w:themeColor="accent2" w:themeShade="80"/>
        </w:rPr>
      </w:pPr>
      <w:r w:rsidRPr="00604D11">
        <w:rPr>
          <w:color w:val="632423" w:themeColor="accent2" w:themeShade="80"/>
        </w:rPr>
        <w:t>Pupil premium strategy outcomes</w:t>
      </w:r>
    </w:p>
    <w:p w14:paraId="2A7D5544" w14:textId="0A093620" w:rsidR="00E66558" w:rsidRDefault="009D71E8">
      <w:r>
        <w:t>This details the impact that our pupil premium activity had on pupils in the 202</w:t>
      </w:r>
      <w:r w:rsidR="00272338">
        <w:t xml:space="preserve">2 – 2023 </w:t>
      </w:r>
      <w:r>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D2575" w14:textId="095B9869" w:rsidR="00643543" w:rsidRDefault="00643543">
            <w:r>
              <w:t xml:space="preserve">As a small school results fluctuate each year due to each child representing a high percentage in each cohort. </w:t>
            </w:r>
          </w:p>
          <w:p w14:paraId="67C7DBF5" w14:textId="7664C66C" w:rsidR="00ED7492" w:rsidRDefault="00643543">
            <w:r>
              <w:t xml:space="preserve">Results of KS2 SATs </w:t>
            </w:r>
          </w:p>
          <w:tbl>
            <w:tblPr>
              <w:tblStyle w:val="TableGrid"/>
              <w:tblW w:w="0" w:type="auto"/>
              <w:tblLook w:val="04A0" w:firstRow="1" w:lastRow="0" w:firstColumn="1" w:lastColumn="0" w:noHBand="0" w:noVBand="1"/>
            </w:tblPr>
            <w:tblGrid>
              <w:gridCol w:w="1584"/>
              <w:gridCol w:w="1557"/>
              <w:gridCol w:w="1541"/>
              <w:gridCol w:w="1462"/>
              <w:gridCol w:w="1515"/>
              <w:gridCol w:w="1357"/>
            </w:tblGrid>
            <w:tr w:rsidR="00643543" w14:paraId="792838C8" w14:textId="77777777" w:rsidTr="008C3E59">
              <w:tc>
                <w:tcPr>
                  <w:tcW w:w="1584" w:type="dxa"/>
                </w:tcPr>
                <w:p w14:paraId="511F2991" w14:textId="77777777" w:rsidR="00643543" w:rsidRDefault="00643543" w:rsidP="00643543"/>
              </w:tc>
              <w:tc>
                <w:tcPr>
                  <w:tcW w:w="1557" w:type="dxa"/>
                </w:tcPr>
                <w:p w14:paraId="338A7372" w14:textId="77777777" w:rsidR="00643543" w:rsidRDefault="00643543" w:rsidP="00643543">
                  <w:r>
                    <w:t>Reading</w:t>
                  </w:r>
                </w:p>
              </w:tc>
              <w:tc>
                <w:tcPr>
                  <w:tcW w:w="1541" w:type="dxa"/>
                </w:tcPr>
                <w:p w14:paraId="617BB919" w14:textId="77777777" w:rsidR="00643543" w:rsidRDefault="00643543" w:rsidP="00643543">
                  <w:r>
                    <w:t xml:space="preserve">Writing </w:t>
                  </w:r>
                </w:p>
              </w:tc>
              <w:tc>
                <w:tcPr>
                  <w:tcW w:w="1462" w:type="dxa"/>
                </w:tcPr>
                <w:p w14:paraId="6278E85E" w14:textId="77777777" w:rsidR="00643543" w:rsidRDefault="00643543" w:rsidP="00643543">
                  <w:r>
                    <w:t>GPS</w:t>
                  </w:r>
                </w:p>
              </w:tc>
              <w:tc>
                <w:tcPr>
                  <w:tcW w:w="1515" w:type="dxa"/>
                </w:tcPr>
                <w:p w14:paraId="53775AC1" w14:textId="77777777" w:rsidR="00643543" w:rsidRDefault="00643543" w:rsidP="00643543">
                  <w:r>
                    <w:t>Maths</w:t>
                  </w:r>
                </w:p>
              </w:tc>
              <w:tc>
                <w:tcPr>
                  <w:tcW w:w="1357" w:type="dxa"/>
                </w:tcPr>
                <w:p w14:paraId="24E17A94" w14:textId="77777777" w:rsidR="00643543" w:rsidRDefault="00643543" w:rsidP="00643543">
                  <w:r>
                    <w:t>combined</w:t>
                  </w:r>
                </w:p>
              </w:tc>
            </w:tr>
            <w:tr w:rsidR="00643543" w14:paraId="7832DFF2" w14:textId="77777777" w:rsidTr="008C3E59">
              <w:tc>
                <w:tcPr>
                  <w:tcW w:w="1584" w:type="dxa"/>
                </w:tcPr>
                <w:p w14:paraId="171759A1" w14:textId="77777777" w:rsidR="00643543" w:rsidRDefault="00643543" w:rsidP="00643543">
                  <w:pPr>
                    <w:jc w:val="center"/>
                  </w:pPr>
                  <w:r>
                    <w:t>Cohort (16) at ARE</w:t>
                  </w:r>
                </w:p>
              </w:tc>
              <w:tc>
                <w:tcPr>
                  <w:tcW w:w="1557" w:type="dxa"/>
                </w:tcPr>
                <w:p w14:paraId="75D62A76" w14:textId="77777777" w:rsidR="00643543" w:rsidRDefault="00643543" w:rsidP="00643543">
                  <w:pPr>
                    <w:jc w:val="center"/>
                  </w:pPr>
                  <w:r>
                    <w:t>75% (12)</w:t>
                  </w:r>
                </w:p>
              </w:tc>
              <w:tc>
                <w:tcPr>
                  <w:tcW w:w="1541" w:type="dxa"/>
                </w:tcPr>
                <w:p w14:paraId="3427DAD1" w14:textId="77777777" w:rsidR="00643543" w:rsidRDefault="00643543" w:rsidP="00643543">
                  <w:pPr>
                    <w:jc w:val="center"/>
                  </w:pPr>
                  <w:r>
                    <w:t>75% (12)</w:t>
                  </w:r>
                </w:p>
              </w:tc>
              <w:tc>
                <w:tcPr>
                  <w:tcW w:w="1462" w:type="dxa"/>
                </w:tcPr>
                <w:p w14:paraId="780257C4" w14:textId="77777777" w:rsidR="00643543" w:rsidRDefault="00643543" w:rsidP="00643543">
                  <w:pPr>
                    <w:jc w:val="center"/>
                  </w:pPr>
                  <w:r>
                    <w:t>81% (13)</w:t>
                  </w:r>
                </w:p>
              </w:tc>
              <w:tc>
                <w:tcPr>
                  <w:tcW w:w="1515" w:type="dxa"/>
                </w:tcPr>
                <w:p w14:paraId="0CEE0439" w14:textId="77777777" w:rsidR="00643543" w:rsidRDefault="00643543" w:rsidP="00643543">
                  <w:pPr>
                    <w:jc w:val="center"/>
                  </w:pPr>
                  <w:r>
                    <w:t>75% (12)</w:t>
                  </w:r>
                </w:p>
              </w:tc>
              <w:tc>
                <w:tcPr>
                  <w:tcW w:w="1357" w:type="dxa"/>
                </w:tcPr>
                <w:p w14:paraId="2224C8AA" w14:textId="77777777" w:rsidR="00643543" w:rsidRDefault="00643543" w:rsidP="00643543">
                  <w:pPr>
                    <w:jc w:val="center"/>
                  </w:pPr>
                  <w:r>
                    <w:t>63% (10)</w:t>
                  </w:r>
                </w:p>
              </w:tc>
            </w:tr>
            <w:tr w:rsidR="00643543" w14:paraId="56110A3D" w14:textId="77777777" w:rsidTr="008C3E59">
              <w:tc>
                <w:tcPr>
                  <w:tcW w:w="1584" w:type="dxa"/>
                </w:tcPr>
                <w:p w14:paraId="52C63DF9" w14:textId="77777777" w:rsidR="00643543" w:rsidRDefault="00643543" w:rsidP="00643543">
                  <w:pPr>
                    <w:jc w:val="center"/>
                  </w:pPr>
                  <w:r>
                    <w:t>Pupil Premium (4)</w:t>
                  </w:r>
                </w:p>
              </w:tc>
              <w:tc>
                <w:tcPr>
                  <w:tcW w:w="1557" w:type="dxa"/>
                </w:tcPr>
                <w:p w14:paraId="1A446B6D" w14:textId="77777777" w:rsidR="00643543" w:rsidRDefault="00643543" w:rsidP="00643543">
                  <w:pPr>
                    <w:jc w:val="center"/>
                  </w:pPr>
                  <w:r>
                    <w:t>50% (2)</w:t>
                  </w:r>
                </w:p>
              </w:tc>
              <w:tc>
                <w:tcPr>
                  <w:tcW w:w="1541" w:type="dxa"/>
                </w:tcPr>
                <w:p w14:paraId="4DD9F2A3" w14:textId="77777777" w:rsidR="00643543" w:rsidRDefault="00643543" w:rsidP="00643543">
                  <w:pPr>
                    <w:jc w:val="center"/>
                  </w:pPr>
                  <w:r>
                    <w:t>50% (2)</w:t>
                  </w:r>
                </w:p>
              </w:tc>
              <w:tc>
                <w:tcPr>
                  <w:tcW w:w="1462" w:type="dxa"/>
                </w:tcPr>
                <w:p w14:paraId="3D3E4057" w14:textId="77777777" w:rsidR="00643543" w:rsidRDefault="00643543" w:rsidP="00643543">
                  <w:pPr>
                    <w:jc w:val="center"/>
                  </w:pPr>
                  <w:r>
                    <w:t>50% (2)</w:t>
                  </w:r>
                </w:p>
              </w:tc>
              <w:tc>
                <w:tcPr>
                  <w:tcW w:w="1515" w:type="dxa"/>
                </w:tcPr>
                <w:p w14:paraId="18371D61" w14:textId="77777777" w:rsidR="00643543" w:rsidRDefault="00643543" w:rsidP="00643543">
                  <w:pPr>
                    <w:jc w:val="center"/>
                  </w:pPr>
                  <w:r>
                    <w:t>75% (3)</w:t>
                  </w:r>
                </w:p>
              </w:tc>
              <w:tc>
                <w:tcPr>
                  <w:tcW w:w="1357" w:type="dxa"/>
                </w:tcPr>
                <w:p w14:paraId="156EC890" w14:textId="77777777" w:rsidR="00643543" w:rsidRDefault="00643543" w:rsidP="00643543">
                  <w:pPr>
                    <w:jc w:val="center"/>
                  </w:pPr>
                  <w:r>
                    <w:t>50% (2)</w:t>
                  </w:r>
                </w:p>
              </w:tc>
            </w:tr>
            <w:tr w:rsidR="00643543" w14:paraId="62F0A0D4" w14:textId="77777777" w:rsidTr="008C3E59">
              <w:tc>
                <w:tcPr>
                  <w:tcW w:w="1584" w:type="dxa"/>
                </w:tcPr>
                <w:p w14:paraId="66C29C67" w14:textId="77777777" w:rsidR="00643543" w:rsidRDefault="00643543" w:rsidP="00643543">
                  <w:pPr>
                    <w:jc w:val="center"/>
                  </w:pPr>
                  <w:r>
                    <w:t>Cohort (16) above ARE</w:t>
                  </w:r>
                </w:p>
              </w:tc>
              <w:tc>
                <w:tcPr>
                  <w:tcW w:w="1557" w:type="dxa"/>
                </w:tcPr>
                <w:p w14:paraId="52F6F7E1" w14:textId="77777777" w:rsidR="00643543" w:rsidRDefault="00643543" w:rsidP="00643543">
                  <w:pPr>
                    <w:jc w:val="center"/>
                  </w:pPr>
                  <w:r>
                    <w:t>46% (6)</w:t>
                  </w:r>
                </w:p>
              </w:tc>
              <w:tc>
                <w:tcPr>
                  <w:tcW w:w="1541" w:type="dxa"/>
                </w:tcPr>
                <w:p w14:paraId="6790521F" w14:textId="77777777" w:rsidR="00643543" w:rsidRDefault="00643543" w:rsidP="00643543">
                  <w:pPr>
                    <w:jc w:val="center"/>
                  </w:pPr>
                  <w:r>
                    <w:t>25% (4)</w:t>
                  </w:r>
                </w:p>
              </w:tc>
              <w:tc>
                <w:tcPr>
                  <w:tcW w:w="1462" w:type="dxa"/>
                </w:tcPr>
                <w:p w14:paraId="26AB51DF" w14:textId="77777777" w:rsidR="00643543" w:rsidRDefault="00643543" w:rsidP="00643543">
                  <w:pPr>
                    <w:jc w:val="center"/>
                  </w:pPr>
                  <w:r>
                    <w:t>46% (6)</w:t>
                  </w:r>
                </w:p>
              </w:tc>
              <w:tc>
                <w:tcPr>
                  <w:tcW w:w="1515" w:type="dxa"/>
                </w:tcPr>
                <w:p w14:paraId="15708CFD" w14:textId="77777777" w:rsidR="00643543" w:rsidRDefault="00643543" w:rsidP="00643543">
                  <w:pPr>
                    <w:jc w:val="center"/>
                  </w:pPr>
                  <w:r>
                    <w:t>19% (3)</w:t>
                  </w:r>
                </w:p>
              </w:tc>
              <w:tc>
                <w:tcPr>
                  <w:tcW w:w="1357" w:type="dxa"/>
                </w:tcPr>
                <w:p w14:paraId="19DD8980" w14:textId="77777777" w:rsidR="00643543" w:rsidRDefault="00643543" w:rsidP="00643543">
                  <w:pPr>
                    <w:jc w:val="center"/>
                  </w:pPr>
                  <w:r>
                    <w:t>12.5% (2)</w:t>
                  </w:r>
                </w:p>
              </w:tc>
            </w:tr>
            <w:tr w:rsidR="00643543" w14:paraId="372FA24C" w14:textId="77777777" w:rsidTr="008C3E59">
              <w:tc>
                <w:tcPr>
                  <w:tcW w:w="1584" w:type="dxa"/>
                </w:tcPr>
                <w:p w14:paraId="4456E119" w14:textId="77777777" w:rsidR="00643543" w:rsidRDefault="00643543" w:rsidP="00643543">
                  <w:pPr>
                    <w:jc w:val="center"/>
                  </w:pPr>
                  <w:r>
                    <w:t>Pupil Premium (4)</w:t>
                  </w:r>
                </w:p>
              </w:tc>
              <w:tc>
                <w:tcPr>
                  <w:tcW w:w="1557" w:type="dxa"/>
                </w:tcPr>
                <w:p w14:paraId="54064E21" w14:textId="77777777" w:rsidR="00643543" w:rsidRDefault="00643543" w:rsidP="00643543">
                  <w:pPr>
                    <w:jc w:val="center"/>
                  </w:pPr>
                  <w:r>
                    <w:t>0</w:t>
                  </w:r>
                </w:p>
              </w:tc>
              <w:tc>
                <w:tcPr>
                  <w:tcW w:w="1541" w:type="dxa"/>
                </w:tcPr>
                <w:p w14:paraId="10F01DDC" w14:textId="77777777" w:rsidR="00643543" w:rsidRDefault="00643543" w:rsidP="00643543">
                  <w:pPr>
                    <w:jc w:val="center"/>
                  </w:pPr>
                  <w:r>
                    <w:t>0</w:t>
                  </w:r>
                </w:p>
              </w:tc>
              <w:tc>
                <w:tcPr>
                  <w:tcW w:w="1462" w:type="dxa"/>
                </w:tcPr>
                <w:p w14:paraId="66B63A8A" w14:textId="77777777" w:rsidR="00643543" w:rsidRDefault="00643543" w:rsidP="00643543">
                  <w:pPr>
                    <w:jc w:val="center"/>
                  </w:pPr>
                  <w:r>
                    <w:t>25% (1)</w:t>
                  </w:r>
                </w:p>
              </w:tc>
              <w:tc>
                <w:tcPr>
                  <w:tcW w:w="1515" w:type="dxa"/>
                </w:tcPr>
                <w:p w14:paraId="77F0B41E" w14:textId="77777777" w:rsidR="00643543" w:rsidRDefault="00643543" w:rsidP="00643543">
                  <w:pPr>
                    <w:jc w:val="center"/>
                  </w:pPr>
                  <w:r>
                    <w:t>0</w:t>
                  </w:r>
                </w:p>
              </w:tc>
              <w:tc>
                <w:tcPr>
                  <w:tcW w:w="1357" w:type="dxa"/>
                </w:tcPr>
                <w:p w14:paraId="683AE9FE" w14:textId="77777777" w:rsidR="00643543" w:rsidRDefault="00643543" w:rsidP="00643543">
                  <w:pPr>
                    <w:jc w:val="center"/>
                  </w:pPr>
                  <w:r>
                    <w:t>0</w:t>
                  </w:r>
                </w:p>
              </w:tc>
            </w:tr>
          </w:tbl>
          <w:p w14:paraId="788E4E8B" w14:textId="77777777" w:rsidR="00643543" w:rsidRDefault="00643543"/>
          <w:p w14:paraId="0CDBD306" w14:textId="76F9FF91" w:rsidR="00643543" w:rsidRDefault="00EF6C67">
            <w:r>
              <w:t>Results at the end of the year through KS1 And KS2</w:t>
            </w:r>
            <w:r w:rsidR="003332FA">
              <w:t xml:space="preserve">, Years 1 to 5. </w:t>
            </w:r>
          </w:p>
          <w:tbl>
            <w:tblPr>
              <w:tblStyle w:val="TableGrid"/>
              <w:tblpPr w:leftFromText="180" w:rightFromText="180" w:vertAnchor="text" w:horzAnchor="margin" w:tblpY="-273"/>
              <w:tblOverlap w:val="never"/>
              <w:tblW w:w="0" w:type="auto"/>
              <w:tblLook w:val="04A0" w:firstRow="1" w:lastRow="0" w:firstColumn="1" w:lastColumn="0" w:noHBand="0" w:noVBand="1"/>
            </w:tblPr>
            <w:tblGrid>
              <w:gridCol w:w="1584"/>
              <w:gridCol w:w="1557"/>
              <w:gridCol w:w="1541"/>
              <w:gridCol w:w="1515"/>
            </w:tblGrid>
            <w:tr w:rsidR="00EF6C67" w14:paraId="17BB542A" w14:textId="77777777" w:rsidTr="00EF6C67">
              <w:tc>
                <w:tcPr>
                  <w:tcW w:w="1584" w:type="dxa"/>
                </w:tcPr>
                <w:p w14:paraId="3E38F41D" w14:textId="77777777" w:rsidR="00EF6C67" w:rsidRDefault="00EF6C67" w:rsidP="00EF6C67"/>
              </w:tc>
              <w:tc>
                <w:tcPr>
                  <w:tcW w:w="1557" w:type="dxa"/>
                </w:tcPr>
                <w:p w14:paraId="29F9DF71" w14:textId="77777777" w:rsidR="00EF6C67" w:rsidRDefault="00EF6C67" w:rsidP="00EF6C67">
                  <w:r>
                    <w:t>Reading</w:t>
                  </w:r>
                </w:p>
              </w:tc>
              <w:tc>
                <w:tcPr>
                  <w:tcW w:w="1541" w:type="dxa"/>
                </w:tcPr>
                <w:p w14:paraId="71FDC2E5" w14:textId="77777777" w:rsidR="00EF6C67" w:rsidRDefault="00EF6C67" w:rsidP="00EF6C67">
                  <w:r>
                    <w:t xml:space="preserve">Writing </w:t>
                  </w:r>
                </w:p>
              </w:tc>
              <w:tc>
                <w:tcPr>
                  <w:tcW w:w="1515" w:type="dxa"/>
                </w:tcPr>
                <w:p w14:paraId="2F2ACB05" w14:textId="77777777" w:rsidR="00EF6C67" w:rsidRDefault="00EF6C67" w:rsidP="00EF6C67">
                  <w:r>
                    <w:t>Maths</w:t>
                  </w:r>
                </w:p>
              </w:tc>
            </w:tr>
            <w:tr w:rsidR="00EF6C67" w14:paraId="5D20BA26" w14:textId="77777777" w:rsidTr="00EF6C67">
              <w:tc>
                <w:tcPr>
                  <w:tcW w:w="1584" w:type="dxa"/>
                </w:tcPr>
                <w:p w14:paraId="08987E77" w14:textId="77777777" w:rsidR="00EF6C67" w:rsidRDefault="00EF6C67" w:rsidP="00EF6C67">
                  <w:pPr>
                    <w:jc w:val="center"/>
                  </w:pPr>
                  <w:r>
                    <w:t>Years 1-5 (55) at ARE</w:t>
                  </w:r>
                </w:p>
              </w:tc>
              <w:tc>
                <w:tcPr>
                  <w:tcW w:w="1557" w:type="dxa"/>
                </w:tcPr>
                <w:p w14:paraId="5D385F57" w14:textId="77777777" w:rsidR="00EF6C67" w:rsidRDefault="00EF6C67" w:rsidP="00EF6C67">
                  <w:pPr>
                    <w:jc w:val="center"/>
                  </w:pPr>
                  <w:r>
                    <w:t>75%</w:t>
                  </w:r>
                </w:p>
              </w:tc>
              <w:tc>
                <w:tcPr>
                  <w:tcW w:w="1541" w:type="dxa"/>
                </w:tcPr>
                <w:p w14:paraId="56AE6AB7" w14:textId="77777777" w:rsidR="00EF6C67" w:rsidRDefault="00EF6C67" w:rsidP="00EF6C67">
                  <w:pPr>
                    <w:jc w:val="center"/>
                  </w:pPr>
                  <w:r>
                    <w:t>75%</w:t>
                  </w:r>
                </w:p>
              </w:tc>
              <w:tc>
                <w:tcPr>
                  <w:tcW w:w="1515" w:type="dxa"/>
                </w:tcPr>
                <w:p w14:paraId="7C40CDB6" w14:textId="77777777" w:rsidR="00EF6C67" w:rsidRDefault="00EF6C67" w:rsidP="00EF6C67">
                  <w:pPr>
                    <w:jc w:val="center"/>
                  </w:pPr>
                  <w:r>
                    <w:t>80%</w:t>
                  </w:r>
                </w:p>
              </w:tc>
            </w:tr>
            <w:tr w:rsidR="00EF6C67" w14:paraId="069AF21E" w14:textId="77777777" w:rsidTr="00EF6C67">
              <w:tc>
                <w:tcPr>
                  <w:tcW w:w="1584" w:type="dxa"/>
                </w:tcPr>
                <w:p w14:paraId="4B922789" w14:textId="77777777" w:rsidR="00EF6C67" w:rsidRDefault="00EF6C67" w:rsidP="00EF6C67">
                  <w:pPr>
                    <w:jc w:val="center"/>
                  </w:pPr>
                  <w:r>
                    <w:t>Pupil Premium (17)</w:t>
                  </w:r>
                </w:p>
              </w:tc>
              <w:tc>
                <w:tcPr>
                  <w:tcW w:w="1557" w:type="dxa"/>
                </w:tcPr>
                <w:p w14:paraId="4103838B" w14:textId="77777777" w:rsidR="00EF6C67" w:rsidRDefault="00EF6C67" w:rsidP="00EF6C67">
                  <w:pPr>
                    <w:jc w:val="center"/>
                  </w:pPr>
                  <w:r>
                    <w:t>47%</w:t>
                  </w:r>
                </w:p>
              </w:tc>
              <w:tc>
                <w:tcPr>
                  <w:tcW w:w="1541" w:type="dxa"/>
                </w:tcPr>
                <w:p w14:paraId="3EDA3DFE" w14:textId="77777777" w:rsidR="00EF6C67" w:rsidRDefault="00EF6C67" w:rsidP="00EF6C67">
                  <w:pPr>
                    <w:jc w:val="center"/>
                  </w:pPr>
                  <w:r>
                    <w:t>53%</w:t>
                  </w:r>
                </w:p>
              </w:tc>
              <w:tc>
                <w:tcPr>
                  <w:tcW w:w="1515" w:type="dxa"/>
                </w:tcPr>
                <w:p w14:paraId="55891296" w14:textId="77777777" w:rsidR="00EF6C67" w:rsidRDefault="00EF6C67" w:rsidP="00EF6C67">
                  <w:pPr>
                    <w:jc w:val="center"/>
                  </w:pPr>
                  <w:r>
                    <w:t>59%</w:t>
                  </w:r>
                </w:p>
              </w:tc>
            </w:tr>
          </w:tbl>
          <w:p w14:paraId="53D42D63" w14:textId="77777777" w:rsidR="00EF6C67" w:rsidRDefault="00EF6C67"/>
          <w:p w14:paraId="1E1AE970" w14:textId="77777777" w:rsidR="00EF6C67" w:rsidRDefault="00EF6C67"/>
          <w:p w14:paraId="1E9A11C0" w14:textId="77777777" w:rsidR="00643543" w:rsidRDefault="00643543"/>
          <w:p w14:paraId="17362A03" w14:textId="77777777" w:rsidR="00EF6C67" w:rsidRDefault="00EF6C67"/>
          <w:p w14:paraId="705F758A" w14:textId="77777777" w:rsidR="00EF6C67" w:rsidRDefault="00EF6C67"/>
          <w:p w14:paraId="4130F78F" w14:textId="10A4750F" w:rsidR="00EF6C67" w:rsidRDefault="00EF6C67">
            <w:r>
              <w:t>Through assessments it can be seen that current year 3s were the hardest hit by the covid pandemic, as they were the reception class at that time. This is shown more in the writing where only 36% achieved ARE in the year 2 tests. The purchase of a new, structured writing s</w:t>
            </w:r>
            <w:r w:rsidR="00C764B0">
              <w:t>ystem</w:t>
            </w:r>
            <w:r>
              <w:t xml:space="preserve"> will address this and also build as they move through school. </w:t>
            </w:r>
            <w:r w:rsidR="00C764B0">
              <w:t xml:space="preserve">Pre and post teaching is being utilised to break down the steps whilst allowing the </w:t>
            </w:r>
            <w:r w:rsidR="00C764B0">
              <w:lastRenderedPageBreak/>
              <w:t xml:space="preserve">children to access the class text and writing. </w:t>
            </w:r>
            <w:r>
              <w:t xml:space="preserve">64% gained ARE in Maths and Reading in that cohort. </w:t>
            </w:r>
            <w:r w:rsidR="008F4DC6">
              <w:t>Maths and reading interventions are to be put in place</w:t>
            </w:r>
            <w:r w:rsidR="00C764B0">
              <w:t xml:space="preserve"> for target children</w:t>
            </w:r>
            <w:r w:rsidR="008F4DC6">
              <w:t xml:space="preserve">. </w:t>
            </w:r>
            <w:r>
              <w:t xml:space="preserve"> </w:t>
            </w:r>
          </w:p>
          <w:p w14:paraId="40DB8D17" w14:textId="104BA0C4" w:rsidR="003332FA" w:rsidRDefault="003332FA">
            <w:r>
              <w:t xml:space="preserve">The phonics scheme is taught with fidelity. Regular feedback from coaches has confirmed we are delivering it well. The next step is training around 1:1 interventions. </w:t>
            </w:r>
          </w:p>
          <w:p w14:paraId="5688D025" w14:textId="1B8DC461" w:rsidR="00EF6C67" w:rsidRDefault="00EF6C67">
            <w:r>
              <w:t xml:space="preserve">Through pupil voice, it shows the new curriculum has had a positive impact on the children’s engagement and enjoyment of the curriculum. </w:t>
            </w:r>
          </w:p>
          <w:p w14:paraId="2A7D5546" w14:textId="6F66ED1E" w:rsidR="00EF6C67" w:rsidRDefault="00EF6C67">
            <w:r>
              <w:t>Purchasing a platform which provides individual learning in maths and writing has had a positive impact. Through analysing the children’s age score, it can be seen that some have made up to 3 y</w:t>
            </w:r>
            <w:r w:rsidR="00C764B0">
              <w:t>ea</w:t>
            </w:r>
            <w:r>
              <w:t xml:space="preserve">rs progress. This needs to be encouraged more for home use as well as in school time. </w:t>
            </w:r>
          </w:p>
        </w:tc>
      </w:tr>
    </w:tbl>
    <w:p w14:paraId="2A7D5548" w14:textId="77777777" w:rsidR="00E66558" w:rsidRPr="004C468A" w:rsidRDefault="009D71E8">
      <w:pPr>
        <w:pStyle w:val="Heading2"/>
        <w:spacing w:before="600"/>
        <w:rPr>
          <w:color w:val="632423" w:themeColor="accent2" w:themeShade="80"/>
        </w:rPr>
      </w:pPr>
      <w:r w:rsidRPr="004C468A">
        <w:rPr>
          <w:color w:val="632423" w:themeColor="accent2" w:themeShade="80"/>
        </w:rP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8E285C0" w:rsidR="00E66558" w:rsidRDefault="00272338">
            <w:pPr>
              <w:pStyle w:val="TableRow"/>
            </w:pPr>
            <w:r>
              <w:t>Doodle Maths/English/Spelling/Times tables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BD51710" w:rsidR="00E66558" w:rsidRDefault="00272338">
            <w:pPr>
              <w:pStyle w:val="TableRowCentered"/>
              <w:jc w:val="left"/>
            </w:pPr>
            <w:r>
              <w:t>Doodle Learning</w:t>
            </w:r>
          </w:p>
        </w:tc>
      </w:tr>
    </w:tbl>
    <w:p w14:paraId="2A7D555E" w14:textId="77777777" w:rsidR="00E66558" w:rsidRDefault="00E66558"/>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F1C83" w14:textId="77777777" w:rsidR="007332FF" w:rsidRDefault="007332FF">
      <w:pPr>
        <w:spacing w:after="0" w:line="240" w:lineRule="auto"/>
      </w:pPr>
      <w:r>
        <w:separator/>
      </w:r>
    </w:p>
  </w:endnote>
  <w:endnote w:type="continuationSeparator" w:id="0">
    <w:p w14:paraId="56EE8AED" w14:textId="77777777" w:rsidR="007332FF" w:rsidRDefault="0073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844E59"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132CA" w14:textId="77777777" w:rsidR="007332FF" w:rsidRDefault="007332FF">
      <w:pPr>
        <w:spacing w:after="0" w:line="240" w:lineRule="auto"/>
      </w:pPr>
      <w:r>
        <w:separator/>
      </w:r>
    </w:p>
  </w:footnote>
  <w:footnote w:type="continuationSeparator" w:id="0">
    <w:p w14:paraId="0AD66C22" w14:textId="77777777" w:rsidR="007332FF" w:rsidRDefault="00733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844E59" w:rsidRDefault="00844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7C5660F"/>
    <w:multiLevelType w:val="hybridMultilevel"/>
    <w:tmpl w:val="35A08B1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CBB00E3"/>
    <w:multiLevelType w:val="hybridMultilevel"/>
    <w:tmpl w:val="8A02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AD26892"/>
    <w:multiLevelType w:val="hybridMultilevel"/>
    <w:tmpl w:val="9FF85FDE"/>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AC18B5"/>
    <w:multiLevelType w:val="hybridMultilevel"/>
    <w:tmpl w:val="0C30EB3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20059180">
    <w:abstractNumId w:val="3"/>
  </w:num>
  <w:num w:numId="2" w16cid:durableId="1296987206">
    <w:abstractNumId w:val="1"/>
  </w:num>
  <w:num w:numId="3" w16cid:durableId="1983344875">
    <w:abstractNumId w:val="4"/>
  </w:num>
  <w:num w:numId="4" w16cid:durableId="1939676236">
    <w:abstractNumId w:val="6"/>
  </w:num>
  <w:num w:numId="5" w16cid:durableId="1860775854">
    <w:abstractNumId w:val="0"/>
  </w:num>
  <w:num w:numId="6" w16cid:durableId="1450510947">
    <w:abstractNumId w:val="8"/>
  </w:num>
  <w:num w:numId="7" w16cid:durableId="1358852221">
    <w:abstractNumId w:val="11"/>
  </w:num>
  <w:num w:numId="8" w16cid:durableId="456024272">
    <w:abstractNumId w:val="16"/>
  </w:num>
  <w:num w:numId="9" w16cid:durableId="257254973">
    <w:abstractNumId w:val="13"/>
  </w:num>
  <w:num w:numId="10" w16cid:durableId="247613759">
    <w:abstractNumId w:val="12"/>
  </w:num>
  <w:num w:numId="11" w16cid:durableId="398092005">
    <w:abstractNumId w:val="2"/>
  </w:num>
  <w:num w:numId="12" w16cid:durableId="680812718">
    <w:abstractNumId w:val="14"/>
  </w:num>
  <w:num w:numId="13" w16cid:durableId="1747992431">
    <w:abstractNumId w:val="10"/>
  </w:num>
  <w:num w:numId="14" w16cid:durableId="843865048">
    <w:abstractNumId w:val="9"/>
  </w:num>
  <w:num w:numId="15" w16cid:durableId="301079659">
    <w:abstractNumId w:val="15"/>
  </w:num>
  <w:num w:numId="16" w16cid:durableId="1245071387">
    <w:abstractNumId w:val="5"/>
  </w:num>
  <w:num w:numId="17" w16cid:durableId="21348666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5CBD"/>
    <w:rsid w:val="0004573B"/>
    <w:rsid w:val="00066B73"/>
    <w:rsid w:val="0008258F"/>
    <w:rsid w:val="000D5999"/>
    <w:rsid w:val="000D5B8A"/>
    <w:rsid w:val="000E61DB"/>
    <w:rsid w:val="00103991"/>
    <w:rsid w:val="00103B8D"/>
    <w:rsid w:val="00120AB1"/>
    <w:rsid w:val="00145B4F"/>
    <w:rsid w:val="001A0BEA"/>
    <w:rsid w:val="00205C8A"/>
    <w:rsid w:val="00223C99"/>
    <w:rsid w:val="00234706"/>
    <w:rsid w:val="00240CA1"/>
    <w:rsid w:val="00251DBA"/>
    <w:rsid w:val="00272338"/>
    <w:rsid w:val="00276EE4"/>
    <w:rsid w:val="00327AEF"/>
    <w:rsid w:val="003332FA"/>
    <w:rsid w:val="00333DF9"/>
    <w:rsid w:val="00337818"/>
    <w:rsid w:val="00391617"/>
    <w:rsid w:val="003C3D1B"/>
    <w:rsid w:val="003F1BF6"/>
    <w:rsid w:val="003F70B6"/>
    <w:rsid w:val="004044AA"/>
    <w:rsid w:val="00412F9B"/>
    <w:rsid w:val="00435743"/>
    <w:rsid w:val="004440F6"/>
    <w:rsid w:val="0045152E"/>
    <w:rsid w:val="00452A9F"/>
    <w:rsid w:val="004730A4"/>
    <w:rsid w:val="00473296"/>
    <w:rsid w:val="00483BDF"/>
    <w:rsid w:val="004C468A"/>
    <w:rsid w:val="004F459E"/>
    <w:rsid w:val="004F4E91"/>
    <w:rsid w:val="0053414B"/>
    <w:rsid w:val="005521A4"/>
    <w:rsid w:val="005560B0"/>
    <w:rsid w:val="00595DEE"/>
    <w:rsid w:val="005B13E0"/>
    <w:rsid w:val="005B5028"/>
    <w:rsid w:val="00600380"/>
    <w:rsid w:val="00604D11"/>
    <w:rsid w:val="006330EC"/>
    <w:rsid w:val="00643543"/>
    <w:rsid w:val="006A7653"/>
    <w:rsid w:val="006D627C"/>
    <w:rsid w:val="006E7FB1"/>
    <w:rsid w:val="006F2BA1"/>
    <w:rsid w:val="00701CDD"/>
    <w:rsid w:val="00712F10"/>
    <w:rsid w:val="007332FF"/>
    <w:rsid w:val="00733F79"/>
    <w:rsid w:val="00741B9E"/>
    <w:rsid w:val="007826C7"/>
    <w:rsid w:val="00792011"/>
    <w:rsid w:val="007C2F04"/>
    <w:rsid w:val="007F7BC6"/>
    <w:rsid w:val="00844E59"/>
    <w:rsid w:val="00865B48"/>
    <w:rsid w:val="008D498F"/>
    <w:rsid w:val="008D75A7"/>
    <w:rsid w:val="008E7FBC"/>
    <w:rsid w:val="008F4DC6"/>
    <w:rsid w:val="0090762A"/>
    <w:rsid w:val="00933FF2"/>
    <w:rsid w:val="00946E7A"/>
    <w:rsid w:val="009540E0"/>
    <w:rsid w:val="00964B0A"/>
    <w:rsid w:val="00986267"/>
    <w:rsid w:val="009D71E8"/>
    <w:rsid w:val="00A14C0A"/>
    <w:rsid w:val="00A87A52"/>
    <w:rsid w:val="00AA4A71"/>
    <w:rsid w:val="00AD3D30"/>
    <w:rsid w:val="00B136E2"/>
    <w:rsid w:val="00B9392C"/>
    <w:rsid w:val="00B9777D"/>
    <w:rsid w:val="00BA1370"/>
    <w:rsid w:val="00BE6644"/>
    <w:rsid w:val="00BF0E94"/>
    <w:rsid w:val="00C25707"/>
    <w:rsid w:val="00C44D8A"/>
    <w:rsid w:val="00C56E59"/>
    <w:rsid w:val="00C71B06"/>
    <w:rsid w:val="00C764B0"/>
    <w:rsid w:val="00C90757"/>
    <w:rsid w:val="00CC4F41"/>
    <w:rsid w:val="00D33FE5"/>
    <w:rsid w:val="00D52F3D"/>
    <w:rsid w:val="00D643C5"/>
    <w:rsid w:val="00D92A6E"/>
    <w:rsid w:val="00DC45A3"/>
    <w:rsid w:val="00DC5799"/>
    <w:rsid w:val="00DE3F55"/>
    <w:rsid w:val="00DF0F8C"/>
    <w:rsid w:val="00DF3700"/>
    <w:rsid w:val="00E00871"/>
    <w:rsid w:val="00E059F2"/>
    <w:rsid w:val="00E06B19"/>
    <w:rsid w:val="00E252DE"/>
    <w:rsid w:val="00E42DB3"/>
    <w:rsid w:val="00E66558"/>
    <w:rsid w:val="00E67489"/>
    <w:rsid w:val="00E77474"/>
    <w:rsid w:val="00E81E8E"/>
    <w:rsid w:val="00EC51FA"/>
    <w:rsid w:val="00EC65C1"/>
    <w:rsid w:val="00ED122E"/>
    <w:rsid w:val="00ED4B99"/>
    <w:rsid w:val="00ED7492"/>
    <w:rsid w:val="00EE4B61"/>
    <w:rsid w:val="00EF6C67"/>
    <w:rsid w:val="00F247C2"/>
    <w:rsid w:val="00F4476D"/>
    <w:rsid w:val="00F44CBF"/>
    <w:rsid w:val="00F64D7A"/>
    <w:rsid w:val="00F67C69"/>
    <w:rsid w:val="00F74DB5"/>
    <w:rsid w:val="00F77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643543"/>
    <w:pPr>
      <w:autoSpaceDN/>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851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tools/assessing-and-monitoring-pupil-progress/testing/standardised-tes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small-group-tuition?utm_source=/education-evidence/teaching-learning-toolkit/small-group-tuition&amp;utm_medium=search&amp;utm_campaign=site_searchh&amp;search_ter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ducationendowmentfoundation.org.uk/projects-and-evaluation/projects/ks2-reading-fluency-project-2024-25-trial" TargetMode="External"/><Relationship Id="rId4" Type="http://schemas.openxmlformats.org/officeDocument/2006/relationships/webSettings" Target="webSettings.xml"/><Relationship Id="rId9" Type="http://schemas.openxmlformats.org/officeDocument/2006/relationships/hyperlink" Target="https://educationendowmentfoundation.org.uk/news/eef-publishes-guidance-to-help-teachers-boost-math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joanne marrow</cp:lastModifiedBy>
  <cp:revision>2</cp:revision>
  <cp:lastPrinted>2014-09-17T13:26:00Z</cp:lastPrinted>
  <dcterms:created xsi:type="dcterms:W3CDTF">2025-03-18T15:15:00Z</dcterms:created>
  <dcterms:modified xsi:type="dcterms:W3CDTF">2025-03-18T15:15:00Z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